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F322E" w:rsidP="006F32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MEM11022 Operate fixed/moveable load shifting equipment</w:t>
      </w:r>
      <w:r>
        <w:fldChar w:fldCharType="end"/>
      </w:r>
    </w:p>
    <w:p w:rsidR="006F322E" w:rsidP="006F322E">
      <w:pPr>
        <w:pStyle w:val="Version"/>
        <w:sectPr w:rsidSect="00CB12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12E8" w:rsidP="00CB12E8">
      <w:pPr>
        <w:pStyle w:val="SuperHeading"/>
      </w:pPr>
      <w:r w:rsidRPr="00CB12E8">
        <w:t>Assessment Requirements for MEM11022 Operate fixed/moveable load shifting equipment</w:t>
      </w:r>
    </w:p>
    <w:p w:rsidR="00000000" w:rsidRPr="00CB12E8" w:rsidP="00CB12E8">
      <w:pPr>
        <w:pStyle w:val="Heading1"/>
      </w:pPr>
      <w:bookmarkStart w:id="1" w:name="O_950776"/>
      <w:bookmarkEnd w:id="1"/>
      <w:r w:rsidRPr="00CB12E8">
        <w:t>Modification History</w:t>
      </w:r>
    </w:p>
    <w:p w:rsidR="00000000" w:rsidRPr="00CB12E8" w:rsidP="006F322E">
      <w:pPr>
        <w:pStyle w:val="BodyText"/>
      </w:pPr>
      <w:r w:rsidRPr="00CB12E8">
        <w:t xml:space="preserve">Release 1. Supersedes and is equivalent to MEM11022B Operate fixed/movable load shifting equipment </w:t>
      </w:r>
    </w:p>
    <w:p w:rsidR="00000000" w:rsidRPr="00CB12E8" w:rsidP="00CB12E8">
      <w:pPr>
        <w:pStyle w:val="Heading1"/>
      </w:pPr>
      <w:bookmarkStart w:id="2" w:name="O_950779"/>
      <w:bookmarkEnd w:id="2"/>
      <w:r w:rsidRPr="00CB12E8">
        <w:t>Performance Evidence</w:t>
      </w:r>
    </w:p>
    <w:p w:rsidR="00000000" w:rsidRPr="00CB12E8" w:rsidP="006F322E">
      <w:pPr>
        <w:pStyle w:val="BodyText"/>
      </w:pPr>
      <w:r w:rsidRPr="00CB12E8">
        <w:t>Evidence required to demonstrate competence in this unit must be relevant to and satisfy the requirements of the elements and performance criteria on at least two (2) occasions and include:</w:t>
      </w:r>
    </w:p>
    <w:p w:rsidR="00000000" w:rsidRPr="00CB12E8" w:rsidP="00CB12E8">
      <w:pPr>
        <w:pStyle w:val="ListBullet"/>
      </w:pPr>
      <w:r w:rsidRPr="00CB12E8">
        <w:t>following work instructions, standard operat</w:t>
      </w:r>
      <w:r w:rsidRPr="00CB12E8">
        <w:t xml:space="preserve">ing procedures (SOPs) and safe work practices </w:t>
      </w:r>
    </w:p>
    <w:p w:rsidR="00000000" w:rsidRPr="00CB12E8" w:rsidP="00CB12E8">
      <w:pPr>
        <w:pStyle w:val="ListBullet"/>
      </w:pPr>
      <w:r w:rsidRPr="00CB12E8">
        <w:t>identifying and interpreting specifications, regulations, load charts and communicating with personnel on movement/location when operating fixed/movable load shifting equipment</w:t>
      </w:r>
    </w:p>
    <w:p w:rsidR="00000000" w:rsidRPr="00CB12E8" w:rsidP="00CB12E8">
      <w:pPr>
        <w:pStyle w:val="ListBullet"/>
      </w:pPr>
      <w:r w:rsidRPr="00CB12E8">
        <w:t>selecting load shifting device a</w:t>
      </w:r>
      <w:r w:rsidRPr="00CB12E8">
        <w:t>ppropriate to the task being performed</w:t>
      </w:r>
    </w:p>
    <w:p w:rsidR="00000000" w:rsidRPr="00CB12E8" w:rsidP="00CB12E8">
      <w:pPr>
        <w:pStyle w:val="ListBullet"/>
      </w:pPr>
      <w:r w:rsidRPr="00CB12E8">
        <w:t>conducting pre-operational checks in accordance with manufacturers’ specifications and SOPs</w:t>
      </w:r>
    </w:p>
    <w:p w:rsidR="00000000" w:rsidRPr="00CB12E8" w:rsidP="00CB12E8">
      <w:pPr>
        <w:pStyle w:val="ListBullet"/>
      </w:pPr>
      <w:r w:rsidRPr="00CB12E8">
        <w:t>identifying the safe working load marked as determined by manufacturers</w:t>
      </w:r>
      <w:r>
        <w:t>’</w:t>
      </w:r>
      <w:r w:rsidRPr="00CB12E8">
        <w:t xml:space="preserve"> specifications and SOPs in relation to the capacity </w:t>
      </w:r>
      <w:r w:rsidRPr="00CB12E8">
        <w:t>of the load shifting equipment</w:t>
      </w:r>
    </w:p>
    <w:p w:rsidR="00000000" w:rsidRPr="00CB12E8" w:rsidP="00CB12E8">
      <w:pPr>
        <w:pStyle w:val="ListBullet"/>
      </w:pPr>
      <w:r w:rsidRPr="00CB12E8">
        <w:t xml:space="preserve">lifting and moving loads in a safe manner being aware of obstacles and hazards </w:t>
      </w:r>
    </w:p>
    <w:p w:rsidR="00000000" w:rsidRPr="00CB12E8" w:rsidP="00CB12E8">
      <w:pPr>
        <w:pStyle w:val="ListBullet"/>
      </w:pPr>
      <w:r w:rsidRPr="00CB12E8">
        <w:t>placing loads ensuring stability, protection of materials and avoidance of hazards.</w:t>
      </w:r>
    </w:p>
    <w:p w:rsidR="00000000" w:rsidRPr="00CB12E8" w:rsidP="00CB12E8">
      <w:pPr>
        <w:pStyle w:val="AllowPageBreak"/>
      </w:pPr>
    </w:p>
    <w:p w:rsidR="00000000" w:rsidRPr="00CB12E8" w:rsidP="00CB12E8">
      <w:pPr>
        <w:pStyle w:val="Heading1"/>
      </w:pPr>
      <w:bookmarkStart w:id="3" w:name="O_950778"/>
      <w:bookmarkEnd w:id="3"/>
      <w:r w:rsidRPr="00CB12E8">
        <w:t>Knowledge Evidence</w:t>
      </w:r>
    </w:p>
    <w:p w:rsidR="00000000" w:rsidRPr="00CB12E8" w:rsidP="006F322E">
      <w:pPr>
        <w:pStyle w:val="BodyText"/>
      </w:pPr>
      <w:r w:rsidRPr="00CB12E8">
        <w:t>Evidence required to demo</w:t>
      </w:r>
      <w:r w:rsidRPr="00CB12E8">
        <w:t>nstrate the required knowledge for this unit must be relevant to and satisfy the requirements of the elements and performance criteria and include knowledge of:</w:t>
      </w:r>
    </w:p>
    <w:p w:rsidR="00000000" w:rsidRPr="00CB12E8" w:rsidP="00CB12E8">
      <w:pPr>
        <w:pStyle w:val="ListBullet"/>
      </w:pPr>
      <w:r w:rsidRPr="00CB12E8">
        <w:t>safe work practices and procedures and use of personal protective equipment (PPE)</w:t>
      </w:r>
    </w:p>
    <w:p w:rsidR="00000000" w:rsidRPr="00CB12E8" w:rsidP="00CB12E8">
      <w:pPr>
        <w:pStyle w:val="ListBullet"/>
      </w:pPr>
      <w:r w:rsidRPr="00CB12E8">
        <w:t xml:space="preserve">operational </w:t>
      </w:r>
      <w:r w:rsidRPr="00CB12E8">
        <w:t>principles of fixed/moveable load shifting equipment</w:t>
      </w:r>
    </w:p>
    <w:p w:rsidR="00000000" w:rsidRPr="00CB12E8" w:rsidP="00CB12E8">
      <w:pPr>
        <w:pStyle w:val="ListBullet"/>
      </w:pPr>
      <w:r w:rsidRPr="00CB12E8">
        <w:t>pre-operational checks</w:t>
      </w:r>
    </w:p>
    <w:p w:rsidR="00000000" w:rsidRPr="00CB12E8" w:rsidP="00CB12E8">
      <w:pPr>
        <w:pStyle w:val="ListBullet"/>
      </w:pPr>
      <w:r w:rsidRPr="00CB12E8">
        <w:t>loads and lifting attachments</w:t>
      </w:r>
    </w:p>
    <w:p w:rsidR="00000000" w:rsidRPr="00CB12E8" w:rsidP="00CB12E8">
      <w:pPr>
        <w:pStyle w:val="ListBullet"/>
      </w:pPr>
      <w:r w:rsidRPr="00CB12E8">
        <w:t>load chart and safe working loads (SWL)</w:t>
      </w:r>
    </w:p>
    <w:p w:rsidR="00000000" w:rsidRPr="00CB12E8" w:rsidP="00CB12E8">
      <w:pPr>
        <w:pStyle w:val="ListBullet"/>
      </w:pPr>
      <w:r w:rsidRPr="00CB12E8">
        <w:t>licensing requirements</w:t>
      </w:r>
    </w:p>
    <w:p w:rsidR="00000000" w:rsidRPr="00CB12E8" w:rsidP="00CB12E8">
      <w:pPr>
        <w:pStyle w:val="ListBullet"/>
      </w:pPr>
      <w:r w:rsidRPr="00CB12E8">
        <w:t>load protection</w:t>
      </w:r>
    </w:p>
    <w:p w:rsidR="00000000" w:rsidRPr="00CB12E8" w:rsidP="00CB12E8">
      <w:pPr>
        <w:pStyle w:val="ListBullet"/>
      </w:pPr>
      <w:r w:rsidRPr="00CB12E8">
        <w:t>operational environment</w:t>
      </w:r>
    </w:p>
    <w:p w:rsidR="00000000" w:rsidRPr="00CB12E8" w:rsidP="00CB12E8">
      <w:pPr>
        <w:pStyle w:val="ListBullet"/>
      </w:pPr>
      <w:r w:rsidRPr="00CB12E8">
        <w:t>appropriate permits.</w:t>
      </w:r>
    </w:p>
    <w:p w:rsidR="00000000" w:rsidRPr="00CB12E8" w:rsidP="00CB12E8">
      <w:pPr>
        <w:pStyle w:val="AllowPageBreak"/>
      </w:pPr>
    </w:p>
    <w:p w:rsidR="00000000" w:rsidRPr="00CB12E8" w:rsidP="00CB12E8">
      <w:pPr>
        <w:pStyle w:val="Heading1"/>
      </w:pPr>
      <w:bookmarkStart w:id="4" w:name="O_950777"/>
      <w:bookmarkEnd w:id="4"/>
      <w:r w:rsidRPr="00CB12E8">
        <w:t>Assessment Conditions</w:t>
      </w:r>
    </w:p>
    <w:p w:rsidR="00000000" w:rsidRPr="00CB12E8" w:rsidP="00CB12E8">
      <w:pPr>
        <w:pStyle w:val="ListBullet"/>
      </w:pPr>
      <w:r w:rsidRPr="00CB12E8">
        <w:t>Assessors must:</w:t>
      </w:r>
    </w:p>
    <w:p w:rsidR="00000000" w:rsidRPr="00CB12E8" w:rsidP="00CB12E8">
      <w:pPr>
        <w:pStyle w:val="ListBullet2"/>
      </w:pPr>
      <w:r w:rsidRPr="00CB12E8">
        <w:t>have vocational competency in operating fixed/movable load shifting equipment at least to the level being assessed with relevant industry knowledge and experience</w:t>
      </w:r>
    </w:p>
    <w:p w:rsidR="00000000" w:rsidRPr="00CB12E8" w:rsidP="00CB12E8">
      <w:pPr>
        <w:pStyle w:val="ListBullet2"/>
      </w:pPr>
      <w:r w:rsidRPr="00CB12E8">
        <w:t xml:space="preserve">satisfy the assessor requirements in the </w:t>
      </w:r>
      <w:r w:rsidRPr="00CB12E8">
        <w:rPr>
          <w:rStyle w:val="Emphasis"/>
        </w:rPr>
        <w:t>Standards fo</w:t>
      </w:r>
      <w:r w:rsidRPr="00CB12E8">
        <w:rPr>
          <w:rStyle w:val="Emphasis"/>
        </w:rPr>
        <w:t xml:space="preserve">r Registered Training Organisations 2015 </w:t>
      </w:r>
      <w:r w:rsidRPr="00CB12E8">
        <w:t>or its replacement</w:t>
      </w:r>
      <w:r w:rsidRPr="00CB12E8">
        <w:rPr>
          <w:rStyle w:val="Emphasis"/>
        </w:rPr>
        <w:t xml:space="preserve"> </w:t>
      </w:r>
      <w:r w:rsidRPr="00CB12E8">
        <w:t xml:space="preserve">and comply with the </w:t>
      </w:r>
      <w:r w:rsidRPr="00CB12E8">
        <w:rPr>
          <w:rStyle w:val="Emphasis"/>
        </w:rPr>
        <w:t xml:space="preserve">National Vocational Education and Training Regulator Act 2011, </w:t>
      </w:r>
      <w:r w:rsidRPr="00CB12E8">
        <w:t>its replacement</w:t>
      </w:r>
      <w:r w:rsidRPr="00CB12E8">
        <w:rPr>
          <w:rStyle w:val="Emphasis"/>
        </w:rPr>
        <w:t xml:space="preserve"> </w:t>
      </w:r>
      <w:r w:rsidRPr="00CB12E8">
        <w:t xml:space="preserve">or equivalent legislation covering VET regulation in a non-referring state/territory as the case </w:t>
      </w:r>
      <w:r w:rsidRPr="00CB12E8">
        <w:t>requires</w:t>
      </w:r>
    </w:p>
    <w:p w:rsidR="00000000" w:rsidRPr="00CB12E8" w:rsidP="00CB12E8">
      <w:pPr>
        <w:pStyle w:val="ListBullet"/>
      </w:pPr>
      <w:r w:rsidRPr="00CB12E8">
        <w:t>Where possible assessment must occur in operational workplace situations. Where this is not possible or where personal safety or environmental damage are limiting factors, assessment must occur in a sufficiently rigorous simulated environment tha</w:t>
      </w:r>
      <w:r w:rsidRPr="00CB12E8">
        <w:t>t reflects realistic operational workplace conditions. This must cover all aspects of workplace performance, including environment, task skills, task management skills, contingency management skills and job role environment skills</w:t>
      </w:r>
    </w:p>
    <w:p w:rsidR="00000000" w:rsidRPr="00CB12E8" w:rsidP="00CB12E8">
      <w:pPr>
        <w:pStyle w:val="ListBullet"/>
      </w:pPr>
      <w:r w:rsidRPr="00CB12E8">
        <w:t>Conditions for assessment</w:t>
      </w:r>
      <w:r w:rsidRPr="00CB12E8">
        <w:t xml:space="preserve"> must include access to all tools, equipment, materials and documentation required, including relevant workplace procedures, product and manufacturing specifications</w:t>
      </w:r>
    </w:p>
    <w:p w:rsidR="00000000" w:rsidRPr="00CB12E8" w:rsidP="00CB12E8">
      <w:pPr>
        <w:pStyle w:val="ListBullet"/>
      </w:pPr>
      <w:r w:rsidRPr="00CB12E8">
        <w:t>Assessment processes and techniques must be appropriate to the language, literacy and nume</w:t>
      </w:r>
      <w:r w:rsidRPr="00CB12E8">
        <w:t>racy requirements of the work being performed and the needs of the candidate.</w:t>
      </w:r>
    </w:p>
    <w:p w:rsidR="00000000" w:rsidRPr="00CB12E8" w:rsidP="00CB12E8">
      <w:pPr>
        <w:pStyle w:val="AllowPageBreak"/>
      </w:pPr>
    </w:p>
    <w:p w:rsidR="00000000" w:rsidRPr="00CB12E8" w:rsidP="00CB12E8">
      <w:pPr>
        <w:pStyle w:val="Heading1"/>
      </w:pPr>
      <w:bookmarkStart w:id="5" w:name="O_950775"/>
      <w:bookmarkEnd w:id="5"/>
      <w:r w:rsidRPr="00CB12E8">
        <w:t>Links</w:t>
      </w:r>
    </w:p>
    <w:p w:rsidR="00000000" w:rsidRPr="00CB12E8" w:rsidP="006F322E">
      <w:pPr>
        <w:pStyle w:val="BodyText"/>
      </w:pPr>
      <w:r w:rsidRPr="00CB12E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9A705A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B12E8" w:rsidP="00CB12E8"/>
    <w:sectPr w:rsidSect="00CB12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E8" w:rsidRPr="006F322E" w:rsidP="006F32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2E" w:rsidP="00CB12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F322E" w:rsidP="00CB12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6F322E" w:rsidP="00CB12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12E8" w:rsidRPr="006F322E" w:rsidP="006F32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12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322E" w:rsidRPr="002D2AF8" w:rsidP="00CB12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MEM11022 Operate fixed/moveable load shifting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6F322E" w:rsidP="00CB12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E3C9A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F3CAC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C1417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12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12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12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12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12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12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12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12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12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12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12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12E8"/>
  </w:style>
  <w:style w:type="character" w:customStyle="1" w:styleId="Heading1Char">
    <w:name w:val="Heading 1 Char"/>
    <w:basedOn w:val="DefaultParagraphFont"/>
    <w:link w:val="Heading1"/>
    <w:rsid w:val="00CB12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12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12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12E8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12E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12E8"/>
    <w:rPr>
      <w:i/>
    </w:rPr>
  </w:style>
  <w:style w:type="paragraph" w:customStyle="1" w:styleId="SuperHeading">
    <w:name w:val="SuperHeading"/>
    <w:basedOn w:val="Normal"/>
    <w:rsid w:val="00CB12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12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B12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12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12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12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12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12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12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12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12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12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12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12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12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12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12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12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12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12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12E8"/>
    <w:rPr>
      <w:b/>
      <w:spacing w:val="0"/>
    </w:rPr>
  </w:style>
  <w:style w:type="paragraph" w:customStyle="1" w:styleId="SuperTitle">
    <w:name w:val="SuperTitle"/>
    <w:basedOn w:val="Title"/>
    <w:rsid w:val="00CB12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12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12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12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12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12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12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12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12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12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12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12E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12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12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12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12E8"/>
  </w:style>
  <w:style w:type="paragraph" w:styleId="TableofFigures">
    <w:name w:val="table of figures"/>
    <w:basedOn w:val="Normal"/>
    <w:next w:val="Normal"/>
    <w:semiHidden/>
    <w:rsid w:val="00CB12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12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12E8"/>
    <w:rPr>
      <w:rFonts w:ascii="Wingdings" w:hAnsi="Wingdings"/>
    </w:rPr>
  </w:style>
  <w:style w:type="paragraph" w:customStyle="1" w:styleId="TableHeading">
    <w:name w:val="Table Heading"/>
    <w:basedOn w:val="HeadingBase"/>
    <w:rsid w:val="00CB12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12E8"/>
    <w:rPr>
      <w:color w:val="0033CC"/>
      <w:u w:val="none"/>
    </w:rPr>
  </w:style>
  <w:style w:type="paragraph" w:customStyle="1" w:styleId="BodyTextRight">
    <w:name w:val="Body Text Right"/>
    <w:basedOn w:val="BodyText"/>
    <w:rsid w:val="00CB12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12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12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12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12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12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12E8"/>
    <w:rPr>
      <w:sz w:val="32"/>
    </w:rPr>
  </w:style>
  <w:style w:type="paragraph" w:customStyle="1" w:styleId="HeadingProcedure">
    <w:name w:val="Heading Procedure"/>
    <w:basedOn w:val="HeadingBase"/>
    <w:next w:val="Normal"/>
    <w:rsid w:val="00CB12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12E8"/>
    <w:pPr>
      <w:spacing w:before="60" w:after="60"/>
    </w:pPr>
  </w:style>
  <w:style w:type="paragraph" w:styleId="ListContinue">
    <w:name w:val="List Continue"/>
    <w:basedOn w:val="List"/>
    <w:rsid w:val="00CB12E8"/>
    <w:pPr>
      <w:ind w:firstLine="0"/>
    </w:pPr>
  </w:style>
  <w:style w:type="paragraph" w:customStyle="1" w:styleId="ListNote">
    <w:name w:val="List Note"/>
    <w:basedOn w:val="List"/>
    <w:rsid w:val="00CB12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12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12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12E8"/>
    <w:rPr>
      <w:rFonts w:ascii="Courier New" w:hAnsi="Courier New"/>
    </w:rPr>
  </w:style>
  <w:style w:type="paragraph" w:customStyle="1" w:styleId="NoteBullet">
    <w:name w:val="Note Bullet"/>
    <w:basedOn w:val="Note"/>
    <w:rsid w:val="00CB12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12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12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12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12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12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12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12E8"/>
    <w:rPr>
      <w:b/>
      <w:smallCaps/>
    </w:rPr>
  </w:style>
  <w:style w:type="paragraph" w:customStyle="1" w:styleId="TableListNumber">
    <w:name w:val="Table List Number"/>
    <w:basedOn w:val="ListNumber"/>
    <w:rsid w:val="00CB12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12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12E8"/>
    <w:pPr>
      <w:numPr>
        <w:numId w:val="9"/>
      </w:numPr>
    </w:pPr>
  </w:style>
  <w:style w:type="paragraph" w:customStyle="1" w:styleId="ListAlpha2">
    <w:name w:val="List Alpha 2"/>
    <w:basedOn w:val="List2"/>
    <w:rsid w:val="00CB12E8"/>
    <w:pPr>
      <w:numPr>
        <w:numId w:val="8"/>
      </w:numPr>
    </w:pPr>
  </w:style>
  <w:style w:type="paragraph" w:styleId="List2">
    <w:name w:val="List 2"/>
    <w:basedOn w:val="BodyText"/>
    <w:rsid w:val="00CB12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12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12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12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12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12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12E8"/>
    <w:pPr>
      <w:numPr>
        <w:numId w:val="4"/>
      </w:numPr>
    </w:pPr>
  </w:style>
  <w:style w:type="paragraph" w:styleId="ListContinue2">
    <w:name w:val="List Continue 2"/>
    <w:basedOn w:val="List2"/>
    <w:rsid w:val="00CB12E8"/>
    <w:pPr>
      <w:ind w:firstLine="0"/>
    </w:pPr>
  </w:style>
  <w:style w:type="paragraph" w:styleId="ListContinue3">
    <w:name w:val="List Continue 3"/>
    <w:basedOn w:val="List3"/>
    <w:rsid w:val="00CB12E8"/>
    <w:pPr>
      <w:ind w:left="1021" w:firstLine="0"/>
    </w:pPr>
  </w:style>
  <w:style w:type="paragraph" w:styleId="ListContinue4">
    <w:name w:val="List Continue 4"/>
    <w:basedOn w:val="List4"/>
    <w:rsid w:val="00CB12E8"/>
    <w:pPr>
      <w:ind w:firstLine="0"/>
    </w:pPr>
  </w:style>
  <w:style w:type="paragraph" w:styleId="ListContinue5">
    <w:name w:val="List Continue 5"/>
    <w:basedOn w:val="List5"/>
    <w:rsid w:val="00CB12E8"/>
    <w:pPr>
      <w:ind w:firstLine="0"/>
    </w:pPr>
  </w:style>
  <w:style w:type="paragraph" w:styleId="ListNumber3">
    <w:name w:val="List Number 3"/>
    <w:basedOn w:val="List3"/>
    <w:rsid w:val="00CB12E8"/>
    <w:pPr>
      <w:numPr>
        <w:numId w:val="5"/>
      </w:numPr>
    </w:pPr>
  </w:style>
  <w:style w:type="paragraph" w:styleId="ListNumber4">
    <w:name w:val="List Number 4"/>
    <w:basedOn w:val="List4"/>
    <w:rsid w:val="00CB12E8"/>
    <w:pPr>
      <w:numPr>
        <w:numId w:val="6"/>
      </w:numPr>
    </w:pPr>
  </w:style>
  <w:style w:type="paragraph" w:styleId="ListNumber5">
    <w:name w:val="List Number 5"/>
    <w:basedOn w:val="List5"/>
    <w:rsid w:val="00CB12E8"/>
    <w:pPr>
      <w:numPr>
        <w:numId w:val="7"/>
      </w:numPr>
    </w:pPr>
  </w:style>
  <w:style w:type="paragraph" w:styleId="BlockText">
    <w:name w:val="Block Text"/>
    <w:basedOn w:val="Normal"/>
    <w:rsid w:val="00CB12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12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12E8"/>
    <w:rPr>
      <w:sz w:val="16"/>
      <w:vertAlign w:val="superscript"/>
    </w:rPr>
  </w:style>
  <w:style w:type="character" w:customStyle="1" w:styleId="Symbols">
    <w:name w:val="Symbols"/>
    <w:basedOn w:val="DefaultParagraphFont"/>
    <w:rsid w:val="00CB12E8"/>
    <w:rPr>
      <w:rFonts w:ascii="Symbol" w:hAnsi="Symbol"/>
    </w:rPr>
  </w:style>
  <w:style w:type="character" w:customStyle="1" w:styleId="MenuOptions">
    <w:name w:val="Menu Options"/>
    <w:basedOn w:val="DefaultParagraphFont"/>
    <w:rsid w:val="00CB12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12E8"/>
    <w:rPr>
      <w:b/>
    </w:rPr>
  </w:style>
  <w:style w:type="character" w:customStyle="1" w:styleId="Underlined">
    <w:name w:val="Underlined"/>
    <w:basedOn w:val="DefaultParagraphFont"/>
    <w:rsid w:val="00CB12E8"/>
    <w:rPr>
      <w:u w:val="single"/>
    </w:rPr>
  </w:style>
  <w:style w:type="paragraph" w:customStyle="1" w:styleId="TableBodyTextRight">
    <w:name w:val="Table Body Text Right"/>
    <w:basedOn w:val="TableBodyText"/>
    <w:rsid w:val="00CB12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12E8"/>
    <w:rPr>
      <w:sz w:val="18"/>
    </w:rPr>
  </w:style>
  <w:style w:type="paragraph" w:customStyle="1" w:styleId="BodySmallRight">
    <w:name w:val="Body Small Right"/>
    <w:basedOn w:val="BodyTextRight"/>
    <w:rsid w:val="00CB12E8"/>
    <w:rPr>
      <w:sz w:val="18"/>
      <w:szCs w:val="18"/>
    </w:rPr>
  </w:style>
  <w:style w:type="paragraph" w:customStyle="1" w:styleId="MarginEdition">
    <w:name w:val="Margin Edition"/>
    <w:basedOn w:val="MarginNote"/>
    <w:rsid w:val="00CB12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12E8"/>
    <w:rPr>
      <w:sz w:val="2"/>
      <w:szCs w:val="2"/>
    </w:rPr>
  </w:style>
  <w:style w:type="character" w:customStyle="1" w:styleId="Small">
    <w:name w:val="Small"/>
    <w:basedOn w:val="DefaultParagraphFont"/>
    <w:rsid w:val="00CB12E8"/>
    <w:rPr>
      <w:sz w:val="16"/>
    </w:rPr>
  </w:style>
  <w:style w:type="paragraph" w:customStyle="1" w:styleId="WideTable">
    <w:name w:val="Wide Table"/>
    <w:basedOn w:val="Normal"/>
    <w:rsid w:val="00CB12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12E8"/>
  </w:style>
  <w:style w:type="paragraph" w:styleId="Quote">
    <w:name w:val="Quote"/>
    <w:basedOn w:val="Heading1"/>
    <w:link w:val="QuoteChar"/>
    <w:qFormat/>
    <w:rsid w:val="00CB12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12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12E8"/>
    <w:pPr>
      <w:pageBreakBefore/>
    </w:pPr>
  </w:style>
  <w:style w:type="paragraph" w:customStyle="1" w:styleId="Border">
    <w:name w:val="Border"/>
    <w:basedOn w:val="Normal"/>
    <w:qFormat/>
    <w:rsid w:val="00CB12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12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12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12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12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12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12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12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12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12E8"/>
    <w:rPr>
      <w:u w:val="single"/>
    </w:rPr>
  </w:style>
  <w:style w:type="character" w:customStyle="1" w:styleId="BoldandItalics">
    <w:name w:val="Bold and Italics"/>
    <w:qFormat/>
    <w:rsid w:val="00CB12E8"/>
    <w:rPr>
      <w:b/>
      <w:i/>
      <w:u w:val="none"/>
    </w:rPr>
  </w:style>
  <w:style w:type="paragraph" w:styleId="BalloonText">
    <w:name w:val="Balloon Text"/>
    <w:basedOn w:val="Normal"/>
    <w:link w:val="BalloonTextChar"/>
    <w:rsid w:val="00CB12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12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12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12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12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12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12E8"/>
    <w:pPr>
      <w:spacing w:before="0" w:after="0"/>
    </w:pPr>
  </w:style>
  <w:style w:type="paragraph" w:customStyle="1" w:styleId="BodyTextBold">
    <w:name w:val="Body Text Bold"/>
    <w:basedOn w:val="BodyText"/>
    <w:qFormat/>
    <w:rsid w:val="00CB12E8"/>
    <w:rPr>
      <w:b/>
    </w:rPr>
  </w:style>
  <w:style w:type="character" w:styleId="Hyperlink">
    <w:name w:val="Hyperlink"/>
    <w:basedOn w:val="DefaultParagraphFont"/>
    <w:uiPriority w:val="99"/>
    <w:unhideWhenUsed/>
    <w:rsid w:val="006F32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443</Words>
  <Characters>3029</Characters>
  <Application>Microsoft Office Word</Application>
  <DocSecurity>0</DocSecurity>
  <Lines>67</Lines>
  <Paragraphs>40</Paragraphs>
  <ScaleCrop>false</ScaleCrop>
  <Company>Author-it Software Corporation Ltd.</Company>
  <LinksUpToDate>false</LinksUpToDate>
  <CharactersWithSpaces>3432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MEM11022 Operate fixed/moveable load shifting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2023-02-03T06:16:00Z</dcterms:created>
  <dcterms:modified xsi:type="dcterms:W3CDTF">2023-02-03T06:16:00Z</dcterms:modified>
</cp:coreProperties>
</file>