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04E" w:rsidP="00AE3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MEM11019 Undertake tool store procedures</w:t>
      </w:r>
      <w:r>
        <w:fldChar w:fldCharType="end"/>
      </w:r>
    </w:p>
    <w:p w:rsidR="00AE304E" w:rsidP="00AE304E">
      <w:pPr>
        <w:pStyle w:val="Version"/>
        <w:sectPr w:rsidSect="00B76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CE1" w:rsidP="00B76CE1">
      <w:pPr>
        <w:pStyle w:val="SuperHeading"/>
      </w:pPr>
      <w:r w:rsidRPr="00B76CE1">
        <w:t>MEM11019 Undertake tool store procedures</w:t>
      </w:r>
    </w:p>
    <w:p w:rsidR="00000000" w:rsidRPr="00B76CE1" w:rsidP="00B76CE1">
      <w:pPr>
        <w:pStyle w:val="Heading1"/>
      </w:pPr>
      <w:bookmarkStart w:id="1" w:name="O_950723"/>
      <w:bookmarkEnd w:id="1"/>
      <w:r w:rsidRPr="00B76CE1">
        <w:t>Modification History</w:t>
      </w:r>
    </w:p>
    <w:p w:rsidR="00000000" w:rsidRPr="00B76CE1" w:rsidP="00AE304E">
      <w:pPr>
        <w:pStyle w:val="BodyText"/>
      </w:pPr>
      <w:r w:rsidRPr="00B76CE1">
        <w:t xml:space="preserve">Release 1. Supersedes and is equivalent to MEM11019B Undertake tool store procedures </w:t>
      </w:r>
    </w:p>
    <w:p w:rsidR="00000000" w:rsidRPr="00B76CE1" w:rsidP="00B76CE1">
      <w:pPr>
        <w:pStyle w:val="Heading1"/>
      </w:pPr>
      <w:bookmarkStart w:id="2" w:name="O_950731"/>
      <w:bookmarkEnd w:id="2"/>
      <w:r w:rsidRPr="00B76CE1">
        <w:t>Application</w:t>
      </w:r>
    </w:p>
    <w:p w:rsidR="00000000" w:rsidRPr="00B76CE1" w:rsidP="00AE304E">
      <w:pPr>
        <w:pStyle w:val="BodyText"/>
      </w:pPr>
      <w:r w:rsidRPr="00B76CE1">
        <w:t>This unit of competency defines the skills and knowledge required to order, receive, maintain and distribute permanent o</w:t>
      </w:r>
      <w:r w:rsidRPr="00B76CE1">
        <w:t>r disposable tooling and specialist tools and associated consumable items used in engineering applications and environments from a specialist store or warehouse.</w:t>
      </w:r>
    </w:p>
    <w:p w:rsidR="00000000" w:rsidRPr="00B76CE1" w:rsidP="00AE304E">
      <w:pPr>
        <w:pStyle w:val="BodyText"/>
      </w:pPr>
      <w:r w:rsidRPr="00B76CE1">
        <w:t>Where interpretation of technical drawings is required unit MEM09002 Interpret technical draw</w:t>
      </w:r>
      <w:r w:rsidRPr="00B76CE1">
        <w:t>ing should also be selected.</w:t>
      </w:r>
    </w:p>
    <w:p w:rsidR="00000000" w:rsidRPr="00B76CE1" w:rsidP="00AE304E">
      <w:pPr>
        <w:pStyle w:val="BodyText"/>
      </w:pPr>
      <w:r w:rsidRPr="00B76CE1">
        <w:t>Where the selection and use of engineering measurement is required unit MEM12023 Perform engineering measurements should also be selected.</w:t>
      </w:r>
    </w:p>
    <w:p w:rsidR="00000000" w:rsidRPr="00B76CE1" w:rsidP="00AE304E">
      <w:pPr>
        <w:pStyle w:val="BodyText"/>
      </w:pPr>
      <w:r w:rsidRPr="00B76CE1">
        <w:t>No licensing, legislative or certification requirements apply to this unit at the time</w:t>
      </w:r>
      <w:r w:rsidRPr="00B76CE1">
        <w:t xml:space="preserve"> of publication.</w:t>
      </w:r>
    </w:p>
    <w:p w:rsidR="00000000" w:rsidRPr="00B76CE1" w:rsidP="00B76CE1">
      <w:pPr>
        <w:pStyle w:val="BodyText"/>
      </w:pPr>
      <w:r w:rsidRPr="00B76CE1">
        <w:rPr>
          <w:rStyle w:val="SpecialBold"/>
        </w:rPr>
        <w:t>Band</w:t>
      </w:r>
      <w:r w:rsidRPr="00B76CE1">
        <w:t>:</w:t>
      </w:r>
      <w:r w:rsidRPr="00B76CE1">
        <w:tab/>
      </w:r>
      <w:r w:rsidRPr="00B76CE1">
        <w:rPr>
          <w:rStyle w:val="SpecialBold"/>
        </w:rPr>
        <w:t>A</w:t>
      </w:r>
    </w:p>
    <w:p w:rsidR="00000000" w:rsidRPr="00B76CE1" w:rsidP="00B76CE1">
      <w:pPr>
        <w:pStyle w:val="BodyText"/>
      </w:pPr>
      <w:r w:rsidRPr="00B76CE1">
        <w:rPr>
          <w:rStyle w:val="SpecialBold"/>
        </w:rPr>
        <w:t>Unit Weight</w:t>
      </w:r>
      <w:r w:rsidRPr="00B76CE1">
        <w:t>:</w:t>
      </w:r>
      <w:r w:rsidRPr="00B76CE1">
        <w:tab/>
      </w:r>
      <w:r w:rsidRPr="00B76CE1">
        <w:rPr>
          <w:rStyle w:val="SpecialBold"/>
        </w:rPr>
        <w:t>4</w:t>
      </w:r>
    </w:p>
    <w:p w:rsidR="00000000" w:rsidRPr="00B76CE1" w:rsidP="00B76CE1">
      <w:pPr>
        <w:pStyle w:val="AllowPageBreak"/>
      </w:pPr>
    </w:p>
    <w:p w:rsidR="00000000" w:rsidRPr="00B76CE1" w:rsidP="00B76CE1">
      <w:pPr>
        <w:pStyle w:val="Heading1"/>
      </w:pPr>
      <w:bookmarkStart w:id="3" w:name="O_950730"/>
      <w:bookmarkEnd w:id="3"/>
      <w:r w:rsidRPr="00B76CE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MEM11007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Administer inventory procedures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Undertake manual handling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MEM11013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Undertake warehouse receival process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Perform computations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Work safely and effectively in manufacturing and engineering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CE1" w:rsidP="00B76CE1">
            <w:pPr>
              <w:pStyle w:val="BodyText"/>
            </w:pPr>
            <w:r w:rsidRPr="00B76CE1">
              <w:t>Organise and communicate information</w:t>
            </w:r>
          </w:p>
        </w:tc>
      </w:tr>
    </w:tbl>
    <w:p w:rsidR="00000000" w:rsidRPr="00B76CE1" w:rsidP="00B76CE1">
      <w:pPr>
        <w:pStyle w:val="BodyText"/>
      </w:pPr>
    </w:p>
    <w:p w:rsidR="00000000" w:rsidRPr="00B76CE1" w:rsidP="00B76CE1">
      <w:pPr>
        <w:pStyle w:val="AllowPageBreak"/>
      </w:pPr>
    </w:p>
    <w:p w:rsidR="00000000" w:rsidRPr="00B76CE1" w:rsidP="00B76CE1">
      <w:pPr>
        <w:pStyle w:val="Heading1"/>
      </w:pPr>
      <w:bookmarkStart w:id="4" w:name="O_950729"/>
      <w:bookmarkEnd w:id="4"/>
      <w:r w:rsidRPr="00B76CE1">
        <w:t>Competency Field</w:t>
      </w:r>
    </w:p>
    <w:p w:rsidR="00000000" w:rsidRPr="00B76CE1" w:rsidP="00AE304E">
      <w:pPr>
        <w:pStyle w:val="BodyText"/>
      </w:pPr>
      <w:r w:rsidRPr="00B76CE1">
        <w:t>Materials handling</w:t>
      </w:r>
    </w:p>
    <w:p w:rsidR="00000000" w:rsidRPr="00B76CE1" w:rsidP="00B76CE1">
      <w:pPr>
        <w:pStyle w:val="Heading1"/>
      </w:pPr>
      <w:bookmarkStart w:id="5" w:name="O_950727"/>
      <w:bookmarkEnd w:id="5"/>
      <w:r w:rsidRPr="00B76C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Performance criteria describe the performance needed to demonstrate achievement of the element.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CE1" w:rsidP="00B76CE1">
            <w:pPr>
              <w:pStyle w:val="BodyText"/>
            </w:pPr>
            <w:r w:rsidRPr="00B76CE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Follow standard operating procedures (SOPs)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Comply with work health and safety (WHS) requirements at all times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Use appropriate personal protective equipment (PPE) in accordance with SOPs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Identify tools/tooling requirements and consolidate from order documentation and liaise with trade and production personnel according to SOPs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CE1" w:rsidP="00B76CE1">
            <w:pPr>
              <w:pStyle w:val="BodyText"/>
            </w:pPr>
            <w:r w:rsidRPr="00B76CE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rPr>
                <w:rStyle w:val="SpecialBold"/>
              </w:rPr>
              <w:t>Order and receive tool</w:t>
            </w:r>
            <w:r w:rsidRPr="00B76CE1">
              <w:rPr>
                <w:rStyle w:val="SpecialBold"/>
              </w:rPr>
              <w:t>s/tooling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Identify appropriate tools/tooling from supplier catalogues and manuals, including correct size, hardness and quality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Place order according SOPs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 xml:space="preserve">Receive orders from main receival warehouse or direct from supplier 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Unpack orders and place stock in correct location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Check items and confirm against order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Process incorrect items according to SOPs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CE1" w:rsidP="00B76CE1">
            <w:pPr>
              <w:pStyle w:val="BodyText"/>
            </w:pPr>
            <w:r w:rsidRPr="00B76CE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rPr>
                <w:rStyle w:val="SpecialBold"/>
              </w:rPr>
              <w:t>Maintain and distribute tools/tooling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Clean tools/tooling and protect, as required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Monitor supplies to ensure maintenance of contingency stock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Issue tools/tooling to users according to SOPs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Follow enterprise documentation procedures</w:t>
            </w:r>
          </w:p>
        </w:tc>
      </w:tr>
      <w:tr w:rsidTr="00B76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CE1" w:rsidP="00B76CE1">
            <w:pPr>
              <w:pStyle w:val="BodyText"/>
            </w:pPr>
            <w:r w:rsidRPr="00B76CE1">
              <w:t>Establish and follow procedures against unauthorised use of tools/tooling</w:t>
            </w:r>
          </w:p>
        </w:tc>
      </w:tr>
    </w:tbl>
    <w:p w:rsidR="00000000" w:rsidRPr="00B76CE1" w:rsidP="00B76CE1">
      <w:pPr>
        <w:pStyle w:val="BodyText"/>
      </w:pPr>
    </w:p>
    <w:p w:rsidR="00000000" w:rsidRPr="00B76CE1" w:rsidP="00B76CE1">
      <w:pPr>
        <w:pStyle w:val="AllowPageBreak"/>
      </w:pPr>
    </w:p>
    <w:p w:rsidR="00000000" w:rsidRPr="00B76CE1" w:rsidP="00B76CE1">
      <w:pPr>
        <w:pStyle w:val="Heading1"/>
      </w:pPr>
      <w:bookmarkStart w:id="6" w:name="O_950726"/>
      <w:bookmarkEnd w:id="6"/>
      <w:r w:rsidRPr="00B76CE1">
        <w:t>Foundation Skills</w:t>
      </w:r>
    </w:p>
    <w:p w:rsidR="00000000" w:rsidRPr="00B76CE1" w:rsidP="00AE304E">
      <w:pPr>
        <w:pStyle w:val="BodyText"/>
      </w:pPr>
      <w:r w:rsidRPr="00B76CE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76CE1" w:rsidP="00AE304E">
      <w:pPr>
        <w:pStyle w:val="BodyText"/>
      </w:pPr>
      <w:r w:rsidRPr="00B76CE1">
        <w:t>Foundation skills essential to performance are explicit in</w:t>
      </w:r>
      <w:r w:rsidRPr="00B76CE1">
        <w:t xml:space="preserve"> the performance criteria of this unit of competency.</w:t>
      </w:r>
    </w:p>
    <w:p w:rsidR="00000000" w:rsidRPr="00B76CE1" w:rsidP="00B76CE1">
      <w:pPr>
        <w:pStyle w:val="Heading1"/>
      </w:pPr>
      <w:bookmarkStart w:id="7" w:name="O_950725"/>
      <w:bookmarkEnd w:id="7"/>
      <w:r w:rsidRPr="00B76CE1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B76C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t xml:space="preserve">This field allows for different work environments and conditions that may affect performance. Essential operating conditions that may be present </w:t>
            </w:r>
            <w:r w:rsidRPr="00B76CE1">
              <w:t>(depending on the work situation, needs of the candidate, accessibility of the item, and local industry and regional contexts) are included.</w:t>
            </w:r>
          </w:p>
        </w:tc>
      </w:tr>
      <w:tr w:rsidTr="00B76C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rPr>
                <w:rStyle w:val="SpecialBold"/>
              </w:rPr>
              <w:t>Engineering applications and environments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CE1" w:rsidP="00B76CE1">
            <w:pPr>
              <w:pStyle w:val="ListBullet"/>
            </w:pPr>
            <w:r w:rsidRPr="00B76CE1">
              <w:t>production manufacturing</w:t>
            </w:r>
          </w:p>
          <w:p w:rsidR="00000000" w:rsidRPr="00B76CE1" w:rsidP="00B76CE1">
            <w:pPr>
              <w:pStyle w:val="ListBullet"/>
            </w:pPr>
            <w:r w:rsidRPr="00B76CE1">
              <w:t>spe</w:t>
            </w:r>
            <w:r w:rsidRPr="00B76CE1">
              <w:t>cialist machining</w:t>
            </w:r>
          </w:p>
          <w:p w:rsidR="00000000" w:rsidRPr="00B76CE1" w:rsidP="00B76CE1">
            <w:pPr>
              <w:pStyle w:val="ListBullet"/>
            </w:pPr>
            <w:r w:rsidRPr="00B76CE1">
              <w:t>maintenance settings</w:t>
            </w:r>
          </w:p>
          <w:p w:rsidR="00000000" w:rsidRPr="00B76CE1" w:rsidP="00B76CE1">
            <w:pPr>
              <w:pStyle w:val="ListBullet"/>
            </w:pPr>
            <w:r w:rsidRPr="00B76CE1">
              <w:t>fabrication workshops</w:t>
            </w:r>
          </w:p>
          <w:p w:rsidR="00000000" w:rsidP="00B76CE1">
            <w:pPr>
              <w:pStyle w:val="BodyText"/>
              <w:rPr>
                <w:lang w:val="en-NZ"/>
              </w:rPr>
            </w:pPr>
          </w:p>
        </w:tc>
      </w:tr>
      <w:tr w:rsidTr="00B76C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E1">
            <w:pPr>
              <w:pStyle w:val="BodyText"/>
              <w:rPr>
                <w:lang w:val="en-NZ"/>
              </w:rPr>
            </w:pPr>
            <w:r w:rsidRPr="00B76CE1">
              <w:rPr>
                <w:rStyle w:val="SpecialBold"/>
              </w:rPr>
              <w:t>Tools</w:t>
            </w:r>
            <w:r w:rsidRPr="00B76CE1">
              <w:t>/</w:t>
            </w:r>
            <w:r w:rsidRPr="00B76CE1">
              <w:rPr>
                <w:rStyle w:val="SpecialBold"/>
              </w:rPr>
              <w:t>tooling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CE1" w:rsidP="00B76CE1">
            <w:pPr>
              <w:pStyle w:val="ListBullet"/>
            </w:pPr>
            <w:r w:rsidRPr="00B76CE1">
              <w:t>hand tools</w:t>
            </w:r>
          </w:p>
          <w:p w:rsidR="00000000" w:rsidRPr="00B76CE1" w:rsidP="00B76CE1">
            <w:pPr>
              <w:pStyle w:val="ListBullet"/>
            </w:pPr>
            <w:r w:rsidRPr="00B76CE1">
              <w:t>cutting tips for lathes, mills and other machines for metal removal</w:t>
            </w:r>
          </w:p>
          <w:p w:rsidR="00000000" w:rsidRPr="00B76CE1" w:rsidP="00B76CE1">
            <w:pPr>
              <w:pStyle w:val="ListBullet"/>
            </w:pPr>
            <w:r w:rsidRPr="00B76CE1">
              <w:t>grinding wheels</w:t>
            </w:r>
          </w:p>
          <w:p w:rsidR="00000000" w:rsidRPr="00B76CE1" w:rsidP="00B76CE1">
            <w:pPr>
              <w:pStyle w:val="ListBullet"/>
            </w:pPr>
            <w:r w:rsidRPr="00B76CE1">
              <w:t xml:space="preserve">special steel </w:t>
            </w:r>
          </w:p>
          <w:p w:rsidR="00000000" w:rsidRPr="00B76CE1" w:rsidP="00B76CE1">
            <w:pPr>
              <w:pStyle w:val="ListBullet"/>
            </w:pPr>
            <w:r w:rsidRPr="00B76CE1">
              <w:t>engineering power tools</w:t>
            </w:r>
          </w:p>
          <w:p w:rsidR="00000000" w:rsidRPr="00B76CE1" w:rsidP="00B76CE1">
            <w:pPr>
              <w:pStyle w:val="ListBullet"/>
            </w:pPr>
            <w:r w:rsidRPr="00B76CE1">
              <w:t>specialised hand tools</w:t>
            </w:r>
          </w:p>
          <w:p w:rsidR="00000000" w:rsidRPr="00B76CE1" w:rsidP="00B76CE1">
            <w:pPr>
              <w:pStyle w:val="ListBullet"/>
            </w:pPr>
            <w:r w:rsidRPr="00B76CE1">
              <w:t>mechanical and electro-mechanical devices (e.g. for lifting and clamping)</w:t>
            </w:r>
          </w:p>
          <w:p w:rsidR="00000000" w:rsidRPr="00B76CE1" w:rsidP="00B76CE1">
            <w:pPr>
              <w:pStyle w:val="ListBullet"/>
            </w:pPr>
            <w:r w:rsidRPr="00B76CE1">
              <w:t>measuring and marking equipment</w:t>
            </w:r>
          </w:p>
          <w:p w:rsidR="00000000" w:rsidRPr="00B76CE1" w:rsidP="00B76CE1">
            <w:pPr>
              <w:pStyle w:val="ListBullet"/>
            </w:pPr>
            <w:r w:rsidRPr="00B76CE1">
              <w:t>templates</w:t>
            </w:r>
          </w:p>
          <w:p w:rsidR="00000000" w:rsidRPr="00B76CE1" w:rsidP="00B76CE1">
            <w:pPr>
              <w:pStyle w:val="ListBullet"/>
            </w:pPr>
            <w:r w:rsidRPr="00B76CE1">
              <w:t xml:space="preserve">jigs </w:t>
            </w:r>
          </w:p>
          <w:p w:rsidR="00000000" w:rsidRPr="00B76CE1" w:rsidP="00B76CE1">
            <w:pPr>
              <w:pStyle w:val="BodyText"/>
            </w:pPr>
          </w:p>
        </w:tc>
      </w:tr>
    </w:tbl>
    <w:p w:rsidR="00000000" w:rsidRPr="00B76CE1" w:rsidP="00B76CE1">
      <w:pPr>
        <w:pStyle w:val="BodyText"/>
      </w:pPr>
    </w:p>
    <w:p w:rsidR="00000000" w:rsidRPr="00B76CE1" w:rsidP="00B76CE1">
      <w:pPr>
        <w:pStyle w:val="AllowPageBreak"/>
      </w:pPr>
    </w:p>
    <w:p w:rsidR="00000000" w:rsidRPr="00B76CE1" w:rsidP="00B76CE1">
      <w:pPr>
        <w:pStyle w:val="Heading1"/>
      </w:pPr>
      <w:bookmarkStart w:id="8" w:name="O_950724"/>
      <w:bookmarkEnd w:id="8"/>
      <w:r w:rsidRPr="00B76CE1">
        <w:t>Unit Mapping Information</w:t>
      </w:r>
    </w:p>
    <w:p w:rsidR="00000000" w:rsidRPr="00B76CE1" w:rsidP="00AE304E">
      <w:pPr>
        <w:pStyle w:val="BodyText"/>
      </w:pPr>
      <w:r w:rsidRPr="00B76CE1">
        <w:t xml:space="preserve">Release 1. Supersedes and is equivalent to MEM11019B Undertake tool store procedures </w:t>
      </w:r>
    </w:p>
    <w:p w:rsidR="00000000" w:rsidRPr="00B76CE1" w:rsidP="00B76CE1">
      <w:pPr>
        <w:pStyle w:val="Heading1"/>
      </w:pPr>
      <w:bookmarkStart w:id="9" w:name="O_950717"/>
      <w:bookmarkEnd w:id="9"/>
      <w:r w:rsidRPr="00B76CE1">
        <w:t>Links</w:t>
      </w:r>
    </w:p>
    <w:p w:rsidR="00000000" w:rsidRPr="00B76CE1" w:rsidP="00AE304E">
      <w:pPr>
        <w:pStyle w:val="BodyText"/>
      </w:pPr>
      <w:r w:rsidRPr="00B76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2DC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6CE1" w:rsidP="00B76CE1"/>
    <w:sectPr w:rsidSect="00B76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E1" w:rsidRPr="00AE304E" w:rsidP="00AE3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4E" w:rsidP="00B76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04E" w:rsidP="00B76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304E" w:rsidP="00B76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CE1" w:rsidRPr="00AE304E" w:rsidP="00AE3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4E" w:rsidRPr="002D2AF8" w:rsidP="00B76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MEM11019 Undertake tool store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E304E" w:rsidP="00B76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96F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AE6D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CE1"/>
  </w:style>
  <w:style w:type="character" w:customStyle="1" w:styleId="Heading1Char">
    <w:name w:val="Heading 1 Char"/>
    <w:basedOn w:val="DefaultParagraphFont"/>
    <w:link w:val="Heading1"/>
    <w:rsid w:val="00B76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C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CE1"/>
    <w:rPr>
      <w:b/>
      <w:spacing w:val="0"/>
    </w:rPr>
  </w:style>
  <w:style w:type="paragraph" w:customStyle="1" w:styleId="SuperHeading">
    <w:name w:val="SuperHeading"/>
    <w:basedOn w:val="Normal"/>
    <w:rsid w:val="00B76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C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CE1"/>
    <w:rPr>
      <w:i/>
    </w:rPr>
  </w:style>
  <w:style w:type="paragraph" w:styleId="Caption">
    <w:name w:val="caption"/>
    <w:basedOn w:val="BodyText"/>
    <w:next w:val="Normal"/>
    <w:qFormat/>
    <w:rsid w:val="00B76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CE1"/>
  </w:style>
  <w:style w:type="paragraph" w:styleId="TableofFigures">
    <w:name w:val="table of figures"/>
    <w:basedOn w:val="Normal"/>
    <w:next w:val="Normal"/>
    <w:semiHidden/>
    <w:rsid w:val="00B76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C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6CE1"/>
    <w:rPr>
      <w:rFonts w:ascii="Wingdings" w:hAnsi="Wingdings"/>
    </w:rPr>
  </w:style>
  <w:style w:type="paragraph" w:customStyle="1" w:styleId="TableHeading">
    <w:name w:val="Table Heading"/>
    <w:basedOn w:val="HeadingBase"/>
    <w:rsid w:val="00B76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CE1"/>
    <w:rPr>
      <w:color w:val="0033CC"/>
      <w:u w:val="none"/>
    </w:rPr>
  </w:style>
  <w:style w:type="paragraph" w:customStyle="1" w:styleId="BodyTextRight">
    <w:name w:val="Body Text Right"/>
    <w:basedOn w:val="BodyText"/>
    <w:rsid w:val="00B76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C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CE1"/>
    <w:rPr>
      <w:sz w:val="32"/>
    </w:rPr>
  </w:style>
  <w:style w:type="paragraph" w:customStyle="1" w:styleId="HeadingProcedure">
    <w:name w:val="Heading Procedure"/>
    <w:basedOn w:val="HeadingBase"/>
    <w:next w:val="Normal"/>
    <w:rsid w:val="00B76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CE1"/>
    <w:pPr>
      <w:spacing w:before="60" w:after="60"/>
    </w:pPr>
  </w:style>
  <w:style w:type="paragraph" w:styleId="ListContinue">
    <w:name w:val="List Continue"/>
    <w:basedOn w:val="List"/>
    <w:rsid w:val="00B76CE1"/>
    <w:pPr>
      <w:ind w:firstLine="0"/>
    </w:pPr>
  </w:style>
  <w:style w:type="paragraph" w:customStyle="1" w:styleId="ListNote">
    <w:name w:val="List Note"/>
    <w:basedOn w:val="List"/>
    <w:rsid w:val="00B76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CE1"/>
    <w:rPr>
      <w:rFonts w:ascii="Courier New" w:hAnsi="Courier New"/>
    </w:rPr>
  </w:style>
  <w:style w:type="paragraph" w:customStyle="1" w:styleId="NoteBullet">
    <w:name w:val="Note Bullet"/>
    <w:basedOn w:val="Note"/>
    <w:rsid w:val="00B76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C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CE1"/>
    <w:rPr>
      <w:b/>
      <w:smallCaps/>
    </w:rPr>
  </w:style>
  <w:style w:type="paragraph" w:customStyle="1" w:styleId="TableListNumber">
    <w:name w:val="Table List Number"/>
    <w:basedOn w:val="ListNumber"/>
    <w:rsid w:val="00B76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CE1"/>
    <w:pPr>
      <w:numPr>
        <w:numId w:val="8"/>
      </w:numPr>
    </w:pPr>
  </w:style>
  <w:style w:type="paragraph" w:customStyle="1" w:styleId="ListAlpha2">
    <w:name w:val="List Alpha 2"/>
    <w:basedOn w:val="List2"/>
    <w:rsid w:val="00B76CE1"/>
    <w:pPr>
      <w:numPr>
        <w:numId w:val="7"/>
      </w:numPr>
    </w:pPr>
  </w:style>
  <w:style w:type="paragraph" w:styleId="List2">
    <w:name w:val="List 2"/>
    <w:basedOn w:val="BodyText"/>
    <w:rsid w:val="00B76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C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C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6CE1"/>
    <w:pPr>
      <w:numPr>
        <w:numId w:val="3"/>
      </w:numPr>
    </w:pPr>
  </w:style>
  <w:style w:type="paragraph" w:styleId="ListContinue2">
    <w:name w:val="List Continue 2"/>
    <w:basedOn w:val="List2"/>
    <w:rsid w:val="00B76CE1"/>
    <w:pPr>
      <w:ind w:firstLine="0"/>
    </w:pPr>
  </w:style>
  <w:style w:type="paragraph" w:styleId="ListContinue3">
    <w:name w:val="List Continue 3"/>
    <w:basedOn w:val="List3"/>
    <w:rsid w:val="00B76CE1"/>
    <w:pPr>
      <w:ind w:left="1021" w:firstLine="0"/>
    </w:pPr>
  </w:style>
  <w:style w:type="paragraph" w:styleId="ListContinue4">
    <w:name w:val="List Continue 4"/>
    <w:basedOn w:val="List4"/>
    <w:rsid w:val="00B76CE1"/>
    <w:pPr>
      <w:ind w:firstLine="0"/>
    </w:pPr>
  </w:style>
  <w:style w:type="paragraph" w:styleId="ListContinue5">
    <w:name w:val="List Continue 5"/>
    <w:basedOn w:val="List5"/>
    <w:rsid w:val="00B76CE1"/>
    <w:pPr>
      <w:ind w:firstLine="0"/>
    </w:pPr>
  </w:style>
  <w:style w:type="paragraph" w:styleId="ListNumber3">
    <w:name w:val="List Number 3"/>
    <w:basedOn w:val="List3"/>
    <w:rsid w:val="00B76CE1"/>
    <w:pPr>
      <w:numPr>
        <w:numId w:val="4"/>
      </w:numPr>
    </w:pPr>
  </w:style>
  <w:style w:type="paragraph" w:styleId="ListNumber4">
    <w:name w:val="List Number 4"/>
    <w:basedOn w:val="List4"/>
    <w:rsid w:val="00B76CE1"/>
    <w:pPr>
      <w:numPr>
        <w:numId w:val="5"/>
      </w:numPr>
    </w:pPr>
  </w:style>
  <w:style w:type="paragraph" w:styleId="ListNumber5">
    <w:name w:val="List Number 5"/>
    <w:basedOn w:val="List5"/>
    <w:rsid w:val="00B76CE1"/>
    <w:pPr>
      <w:numPr>
        <w:numId w:val="6"/>
      </w:numPr>
    </w:pPr>
  </w:style>
  <w:style w:type="paragraph" w:styleId="BlockText">
    <w:name w:val="Block Text"/>
    <w:basedOn w:val="Normal"/>
    <w:rsid w:val="00B76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CE1"/>
    <w:rPr>
      <w:sz w:val="16"/>
      <w:vertAlign w:val="superscript"/>
    </w:rPr>
  </w:style>
  <w:style w:type="character" w:customStyle="1" w:styleId="Symbols">
    <w:name w:val="Symbols"/>
    <w:basedOn w:val="DefaultParagraphFont"/>
    <w:rsid w:val="00B76CE1"/>
    <w:rPr>
      <w:rFonts w:ascii="Symbol" w:hAnsi="Symbol"/>
    </w:rPr>
  </w:style>
  <w:style w:type="character" w:customStyle="1" w:styleId="MenuOptions">
    <w:name w:val="Menu Options"/>
    <w:basedOn w:val="DefaultParagraphFont"/>
    <w:rsid w:val="00B76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CE1"/>
    <w:rPr>
      <w:b/>
    </w:rPr>
  </w:style>
  <w:style w:type="character" w:customStyle="1" w:styleId="Underlined">
    <w:name w:val="Underlined"/>
    <w:basedOn w:val="DefaultParagraphFont"/>
    <w:rsid w:val="00B76CE1"/>
    <w:rPr>
      <w:u w:val="single"/>
    </w:rPr>
  </w:style>
  <w:style w:type="paragraph" w:customStyle="1" w:styleId="TableBodyTextRight">
    <w:name w:val="Table Body Text Right"/>
    <w:basedOn w:val="TableBodyText"/>
    <w:rsid w:val="00B76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CE1"/>
    <w:rPr>
      <w:sz w:val="18"/>
    </w:rPr>
  </w:style>
  <w:style w:type="paragraph" w:customStyle="1" w:styleId="BodySmallRight">
    <w:name w:val="Body Small Right"/>
    <w:basedOn w:val="BodyTextRight"/>
    <w:rsid w:val="00B76CE1"/>
    <w:rPr>
      <w:sz w:val="18"/>
      <w:szCs w:val="18"/>
    </w:rPr>
  </w:style>
  <w:style w:type="paragraph" w:customStyle="1" w:styleId="MarginEdition">
    <w:name w:val="Margin Edition"/>
    <w:basedOn w:val="MarginNote"/>
    <w:rsid w:val="00B76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CE1"/>
    <w:rPr>
      <w:sz w:val="2"/>
      <w:szCs w:val="2"/>
    </w:rPr>
  </w:style>
  <w:style w:type="character" w:customStyle="1" w:styleId="Small">
    <w:name w:val="Small"/>
    <w:basedOn w:val="DefaultParagraphFont"/>
    <w:rsid w:val="00B76CE1"/>
    <w:rPr>
      <w:sz w:val="16"/>
    </w:rPr>
  </w:style>
  <w:style w:type="paragraph" w:customStyle="1" w:styleId="WideTable">
    <w:name w:val="Wide Table"/>
    <w:basedOn w:val="Normal"/>
    <w:rsid w:val="00B76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CE1"/>
  </w:style>
  <w:style w:type="paragraph" w:styleId="Quote">
    <w:name w:val="Quote"/>
    <w:basedOn w:val="Heading1"/>
    <w:link w:val="QuoteChar"/>
    <w:qFormat/>
    <w:rsid w:val="00B76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CE1"/>
    <w:pPr>
      <w:pageBreakBefore/>
    </w:pPr>
  </w:style>
  <w:style w:type="paragraph" w:customStyle="1" w:styleId="Border">
    <w:name w:val="Border"/>
    <w:basedOn w:val="Normal"/>
    <w:qFormat/>
    <w:rsid w:val="00B76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CE1"/>
    <w:rPr>
      <w:u w:val="single"/>
    </w:rPr>
  </w:style>
  <w:style w:type="character" w:customStyle="1" w:styleId="BoldandItalics">
    <w:name w:val="Bold and Italics"/>
    <w:qFormat/>
    <w:rsid w:val="00B76CE1"/>
    <w:rPr>
      <w:b/>
      <w:i/>
      <w:u w:val="none"/>
    </w:rPr>
  </w:style>
  <w:style w:type="paragraph" w:styleId="BalloonText">
    <w:name w:val="Balloon Text"/>
    <w:basedOn w:val="Normal"/>
    <w:link w:val="BalloonTextChar"/>
    <w:rsid w:val="00B76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CE1"/>
    <w:pPr>
      <w:spacing w:before="0" w:after="0"/>
    </w:pPr>
  </w:style>
  <w:style w:type="paragraph" w:customStyle="1" w:styleId="BodyTextBold">
    <w:name w:val="Body Text Bold"/>
    <w:basedOn w:val="BodyText"/>
    <w:qFormat/>
    <w:rsid w:val="00B76CE1"/>
    <w:rPr>
      <w:b/>
    </w:rPr>
  </w:style>
  <w:style w:type="character" w:styleId="Hyperlink">
    <w:name w:val="Hyperlink"/>
    <w:basedOn w:val="DefaultParagraphFont"/>
    <w:uiPriority w:val="99"/>
    <w:unhideWhenUsed/>
    <w:rsid w:val="00AE3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3551</Characters>
  <Application>Microsoft Office Word</Application>
  <DocSecurity>0</DocSecurity>
  <Lines>186</Lines>
  <Paragraphs>110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MEM11019 Undertake tool store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