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24E" w:rsidP="006A72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MEM11014 Undertake warehouse dispatch process</w:t>
      </w:r>
      <w:r>
        <w:fldChar w:fldCharType="end"/>
      </w:r>
    </w:p>
    <w:p w:rsidR="006A724E" w:rsidP="006A724E">
      <w:pPr>
        <w:pStyle w:val="Version"/>
        <w:sectPr w:rsidSect="000C27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2797" w:rsidP="000C2797">
      <w:pPr>
        <w:pStyle w:val="SuperHeading"/>
      </w:pPr>
      <w:r w:rsidRPr="000C2797">
        <w:t>MEM11014 Undertake warehouse dispatch process</w:t>
      </w:r>
    </w:p>
    <w:p w:rsidR="00000000" w:rsidRPr="000C2797" w:rsidP="000C2797">
      <w:pPr>
        <w:pStyle w:val="Heading1"/>
      </w:pPr>
      <w:bookmarkStart w:id="1" w:name="O_950628"/>
      <w:bookmarkEnd w:id="1"/>
      <w:r w:rsidRPr="000C2797">
        <w:t>Modification History</w:t>
      </w:r>
    </w:p>
    <w:p w:rsidR="00000000" w:rsidRPr="000C2797" w:rsidP="006A724E">
      <w:pPr>
        <w:pStyle w:val="BodyText"/>
      </w:pPr>
      <w:r w:rsidRPr="000C2797">
        <w:t xml:space="preserve">Release 1. Supersedes and is equivalent to MEM11014B Undertake warehouse dispatch process </w:t>
      </w:r>
    </w:p>
    <w:p w:rsidR="00000000" w:rsidRPr="000C2797" w:rsidP="000C2797">
      <w:pPr>
        <w:pStyle w:val="Heading1"/>
      </w:pPr>
      <w:bookmarkStart w:id="2" w:name="O_950636"/>
      <w:bookmarkEnd w:id="2"/>
      <w:r w:rsidRPr="000C2797">
        <w:t>Application</w:t>
      </w:r>
    </w:p>
    <w:p w:rsidR="00000000" w:rsidRPr="000C2797" w:rsidP="006A724E">
      <w:pPr>
        <w:pStyle w:val="BodyText"/>
      </w:pPr>
      <w:r w:rsidRPr="000C2797">
        <w:t>This unit of competency defines the skills and knowledge required to arrange and consolidate orders, prepar</w:t>
      </w:r>
      <w:r w:rsidRPr="000C2797">
        <w:t>e and dispatch goods in a store or warehousing environment and utilise the application of the knowledge of warehouse systems and procedures.</w:t>
      </w:r>
    </w:p>
    <w:p w:rsidR="00000000" w:rsidRPr="000C2797" w:rsidP="006A724E">
      <w:pPr>
        <w:pStyle w:val="BodyText"/>
      </w:pPr>
      <w:r w:rsidRPr="000C2797">
        <w:t>Where the received goods are bulk fluids or gases (i.e. large commercial quantities) unit MEM11009 Handle/move bul</w:t>
      </w:r>
      <w:r w:rsidRPr="000C2797">
        <w:t>k fluids/gases should also be selected.</w:t>
      </w:r>
    </w:p>
    <w:p w:rsidR="00000000" w:rsidRPr="000C2797" w:rsidP="006A724E">
      <w:pPr>
        <w:pStyle w:val="BodyText"/>
      </w:pPr>
      <w:r w:rsidRPr="000C2797">
        <w:t>Where load shifting equipment operation skills are required unit MEM11010 Operate mobile load shifting equipment should also be selected.</w:t>
      </w:r>
    </w:p>
    <w:p w:rsidR="00000000" w:rsidRPr="000C2797" w:rsidP="006A724E">
      <w:pPr>
        <w:pStyle w:val="BodyText"/>
      </w:pPr>
      <w:r w:rsidRPr="000C2797">
        <w:t>Where the selection and use of engineering measurement is required unit MEM1</w:t>
      </w:r>
      <w:r w:rsidRPr="000C2797">
        <w:t>2023 Perform engineering measurements should also be selected.</w:t>
      </w:r>
    </w:p>
    <w:p w:rsidR="00000000" w:rsidRPr="000C2797" w:rsidP="006A724E">
      <w:pPr>
        <w:pStyle w:val="BodyText"/>
      </w:pPr>
      <w:r w:rsidRPr="000C2797">
        <w:t xml:space="preserve">Where hazardous goods are received and handled unit MEM13003 Work safely with industrial chemicals and materials should also be selected. </w:t>
      </w:r>
    </w:p>
    <w:p w:rsidR="00000000" w:rsidRPr="000C2797" w:rsidP="006A724E">
      <w:pPr>
        <w:pStyle w:val="BodyText"/>
      </w:pPr>
      <w:r w:rsidRPr="000C2797">
        <w:t>Where the selection and use of hand tools is require</w:t>
      </w:r>
      <w:r w:rsidRPr="000C2797">
        <w:t>d unit MEM18001 Use hand tools should also be selected.</w:t>
      </w:r>
    </w:p>
    <w:p w:rsidR="00000000" w:rsidRPr="000C2797" w:rsidP="006A724E">
      <w:pPr>
        <w:pStyle w:val="BodyText"/>
      </w:pPr>
      <w:r w:rsidRPr="000C2797">
        <w:t xml:space="preserve">No licensing, legislative or certification requirements apply to this unit at the time of publication. </w:t>
      </w:r>
    </w:p>
    <w:p w:rsidR="00000000" w:rsidRPr="000C2797" w:rsidP="006A724E">
      <w:pPr>
        <w:pStyle w:val="BodyText"/>
      </w:pPr>
      <w:r w:rsidRPr="000C2797">
        <w:t>Where the handling of dangerous goods is a component of the application of this unit, users sh</w:t>
      </w:r>
      <w:r w:rsidRPr="000C2797">
        <w:t>ould check for relevant regulations and legislation with the appropriate authorities.</w:t>
      </w:r>
    </w:p>
    <w:p w:rsidR="00000000" w:rsidRPr="000C2797" w:rsidP="000C2797">
      <w:pPr>
        <w:pStyle w:val="BodyText"/>
      </w:pPr>
      <w:r w:rsidRPr="000C2797">
        <w:rPr>
          <w:rStyle w:val="SpecialBold"/>
        </w:rPr>
        <w:t>Band</w:t>
      </w:r>
      <w:r w:rsidRPr="000C2797">
        <w:t>:</w:t>
      </w:r>
      <w:r w:rsidRPr="000C2797">
        <w:tab/>
      </w:r>
      <w:r w:rsidRPr="000C2797">
        <w:rPr>
          <w:rStyle w:val="SpecialBold"/>
        </w:rPr>
        <w:t>A</w:t>
      </w:r>
    </w:p>
    <w:p w:rsidR="00000000" w:rsidRPr="000C2797" w:rsidP="000C2797">
      <w:pPr>
        <w:pStyle w:val="BodyText"/>
      </w:pPr>
      <w:r w:rsidRPr="000C2797">
        <w:rPr>
          <w:rStyle w:val="SpecialBold"/>
        </w:rPr>
        <w:t>Unit Weight</w:t>
      </w:r>
      <w:r w:rsidRPr="000C2797">
        <w:t>:</w:t>
      </w:r>
      <w:r w:rsidRPr="000C2797">
        <w:tab/>
      </w:r>
      <w:r w:rsidRPr="000C2797">
        <w:rPr>
          <w:rStyle w:val="SpecialBold"/>
        </w:rPr>
        <w:t>4</w:t>
      </w:r>
    </w:p>
    <w:p w:rsidR="00000000" w:rsidRPr="000C2797" w:rsidP="000C2797">
      <w:pPr>
        <w:pStyle w:val="AllowPageBreak"/>
      </w:pPr>
    </w:p>
    <w:p w:rsidR="00000000" w:rsidRPr="000C2797" w:rsidP="000C2797">
      <w:pPr>
        <w:pStyle w:val="Heading1"/>
      </w:pPr>
      <w:bookmarkStart w:id="3" w:name="O_950635"/>
      <w:bookmarkEnd w:id="3"/>
      <w:r w:rsidRPr="000C279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0C2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MEM11008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Package materials (stores and warehouse)</w:t>
            </w:r>
          </w:p>
        </w:tc>
      </w:tr>
      <w:tr w:rsidTr="000C2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Undertake manual handling</w:t>
            </w:r>
          </w:p>
        </w:tc>
      </w:tr>
      <w:tr w:rsidTr="000C2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Work safely and effectively in manufacturing and engineering</w:t>
            </w:r>
          </w:p>
        </w:tc>
      </w:tr>
      <w:tr w:rsidTr="000C2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97" w:rsidP="000C2797">
            <w:pPr>
              <w:pStyle w:val="BodyText"/>
            </w:pPr>
            <w:r w:rsidRPr="000C2797">
              <w:t>Organise and communicate information</w:t>
            </w:r>
          </w:p>
        </w:tc>
      </w:tr>
    </w:tbl>
    <w:p w:rsidR="00000000" w:rsidRPr="000C2797" w:rsidP="000C2797">
      <w:pPr>
        <w:pStyle w:val="BodyText"/>
      </w:pPr>
    </w:p>
    <w:p w:rsidR="00000000" w:rsidRPr="000C2797" w:rsidP="000C2797">
      <w:pPr>
        <w:pStyle w:val="AllowPageBreak"/>
      </w:pPr>
    </w:p>
    <w:p w:rsidR="00000000" w:rsidRPr="000C2797" w:rsidP="000C2797">
      <w:pPr>
        <w:pStyle w:val="Heading1"/>
      </w:pPr>
      <w:bookmarkStart w:id="4" w:name="O_950634"/>
      <w:bookmarkEnd w:id="4"/>
      <w:r w:rsidRPr="000C2797">
        <w:t>Competency Field</w:t>
      </w:r>
    </w:p>
    <w:p w:rsidR="00000000" w:rsidRPr="000C2797" w:rsidP="006A724E">
      <w:pPr>
        <w:pStyle w:val="BodyText"/>
      </w:pPr>
      <w:r w:rsidRPr="000C2797">
        <w:t>Materials handling</w:t>
      </w:r>
    </w:p>
    <w:p w:rsidR="00000000" w:rsidRPr="000C2797" w:rsidP="000C2797">
      <w:pPr>
        <w:pStyle w:val="Heading1"/>
      </w:pPr>
      <w:bookmarkStart w:id="5" w:name="O_950632"/>
      <w:bookmarkEnd w:id="5"/>
      <w:r w:rsidRPr="000C27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C2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Performance criteria describe the performance needed to demonstrate achievement of the element.</w:t>
            </w:r>
          </w:p>
        </w:tc>
      </w:tr>
      <w:tr w:rsidTr="000C2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97" w:rsidP="000C2797">
            <w:pPr>
              <w:pStyle w:val="BodyText"/>
            </w:pPr>
            <w:r w:rsidRPr="000C279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Follow standard operating procedures (SOPs)</w:t>
            </w:r>
          </w:p>
        </w:tc>
      </w:tr>
      <w:tr w:rsidTr="000C2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Comply with work health and safety (WHS) requirements at all times</w:t>
            </w:r>
          </w:p>
        </w:tc>
      </w:tr>
      <w:tr w:rsidTr="000C2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Use appropriate personal protective equipment (PPE) in accordance with SOPs</w:t>
            </w:r>
          </w:p>
        </w:tc>
      </w:tr>
      <w:tr w:rsidTr="000C2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Identify despatch requirements from customer requirements</w:t>
            </w:r>
          </w:p>
        </w:tc>
      </w:tr>
      <w:tr w:rsidTr="000C2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</w:p>
        </w:tc>
      </w:tr>
      <w:tr w:rsidTr="000C2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97" w:rsidP="000C2797">
            <w:pPr>
              <w:pStyle w:val="BodyText"/>
            </w:pPr>
            <w:r w:rsidRPr="000C279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rPr>
                <w:rStyle w:val="SpecialBold"/>
              </w:rPr>
              <w:t>Arrange and consolidate orders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Consolidate packed orders into customer or carrier batches according to SOPs</w:t>
            </w:r>
          </w:p>
        </w:tc>
      </w:tr>
      <w:tr w:rsidTr="000C2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Place consolidated goods into correct dispatch area</w:t>
            </w:r>
          </w:p>
        </w:tc>
      </w:tr>
      <w:tr w:rsidTr="000C2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</w:p>
        </w:tc>
      </w:tr>
      <w:tr w:rsidTr="000C2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97" w:rsidP="000C2797">
            <w:pPr>
              <w:pStyle w:val="BodyText"/>
            </w:pPr>
            <w:r w:rsidRPr="000C279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rPr>
                <w:rStyle w:val="SpecialBold"/>
              </w:rPr>
              <w:t>Prepare for dispatch of goods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Identify goods requiring special unloading procedures</w:t>
            </w:r>
          </w:p>
        </w:tc>
      </w:tr>
      <w:tr w:rsidTr="000C2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Pack goods and shrink-wrap and/or palletise</w:t>
            </w:r>
          </w:p>
        </w:tc>
      </w:tr>
      <w:tr w:rsidTr="000C2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Label goods and attach appropriate documentation according to SOPs</w:t>
            </w:r>
          </w:p>
        </w:tc>
      </w:tr>
      <w:tr w:rsidTr="000C2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Place goods in dispatch area ready for loading according to pick-up schedule and carrier requirements</w:t>
            </w:r>
          </w:p>
        </w:tc>
      </w:tr>
      <w:tr w:rsidTr="000C2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</w:p>
        </w:tc>
      </w:tr>
      <w:tr w:rsidTr="000C2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97" w:rsidP="000C2797">
            <w:pPr>
              <w:pStyle w:val="BodyText"/>
            </w:pPr>
            <w:r w:rsidRPr="000C2797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rPr>
                <w:rStyle w:val="SpecialBold"/>
              </w:rPr>
              <w:t>Dispatch goods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Check carrier and customer documentation</w:t>
            </w:r>
          </w:p>
        </w:tc>
      </w:tr>
      <w:tr w:rsidTr="000C2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Communicate loading and transportation requirements to driver and receive confirmation from the driver</w:t>
            </w:r>
          </w:p>
        </w:tc>
      </w:tr>
      <w:tr w:rsidTr="000C2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Load goods onto vehicle using appropriate materials handling techniques and devices</w:t>
            </w:r>
          </w:p>
        </w:tc>
      </w:tr>
      <w:tr w:rsidTr="000C2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97" w:rsidP="000C2797">
            <w:pPr>
              <w:pStyle w:val="BodyText"/>
            </w:pPr>
            <w:r w:rsidRPr="000C2797">
              <w:t>Complete inventory records/documentation according to SOPs</w:t>
            </w:r>
          </w:p>
        </w:tc>
      </w:tr>
    </w:tbl>
    <w:p w:rsidR="00000000" w:rsidRPr="000C2797" w:rsidP="000C2797">
      <w:pPr>
        <w:pStyle w:val="BodyText"/>
      </w:pPr>
    </w:p>
    <w:p w:rsidR="00000000" w:rsidRPr="000C2797" w:rsidP="000C2797">
      <w:pPr>
        <w:pStyle w:val="AllowPageBreak"/>
      </w:pPr>
    </w:p>
    <w:p w:rsidR="00000000" w:rsidRPr="000C2797" w:rsidP="000C2797">
      <w:pPr>
        <w:pStyle w:val="Heading1"/>
      </w:pPr>
      <w:bookmarkStart w:id="6" w:name="O_950631"/>
      <w:bookmarkEnd w:id="6"/>
      <w:r w:rsidRPr="000C2797">
        <w:t>Foundation Skills</w:t>
      </w:r>
    </w:p>
    <w:p w:rsidR="00000000" w:rsidRPr="000C2797" w:rsidP="006A724E">
      <w:pPr>
        <w:pStyle w:val="BodyText"/>
      </w:pPr>
      <w:r w:rsidRPr="000C2797">
        <w:t>This section describes those required skills (reading, writing, oral communication and numeracy) that are essential to workplace performance in this unit of com</w:t>
      </w:r>
      <w:r w:rsidRPr="000C2797">
        <w:t xml:space="preserve">petency.  </w:t>
      </w:r>
    </w:p>
    <w:p w:rsidR="00000000" w:rsidRPr="000C2797" w:rsidP="006A724E">
      <w:pPr>
        <w:pStyle w:val="BodyText"/>
      </w:pPr>
      <w:r w:rsidRPr="000C2797">
        <w:t>Foundation skills essential to performance are explicit in the performance criteria of this unit of competency.</w:t>
      </w:r>
    </w:p>
    <w:p w:rsidR="00000000" w:rsidRPr="000C2797" w:rsidP="000C2797">
      <w:pPr>
        <w:pStyle w:val="Heading1"/>
      </w:pPr>
      <w:bookmarkStart w:id="7" w:name="O_950630"/>
      <w:bookmarkEnd w:id="7"/>
      <w:r w:rsidRPr="000C2797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9"/>
      </w:tblGrid>
      <w:tr w:rsidTr="000C27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t>This field allows for different work environments and conditions that may affect performance. E</w:t>
            </w:r>
            <w:r w:rsidRPr="000C2797">
              <w:t>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0C27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rPr>
                <w:rStyle w:val="SpecialBold"/>
              </w:rPr>
              <w:t>Packed includes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97" w:rsidP="000C2797">
            <w:pPr>
              <w:pStyle w:val="ListBullet"/>
            </w:pPr>
            <w:r w:rsidRPr="000C2797">
              <w:t>wrapping</w:t>
            </w:r>
          </w:p>
          <w:p w:rsidR="00000000" w:rsidRPr="000C2797" w:rsidP="000C2797">
            <w:pPr>
              <w:pStyle w:val="ListBullet"/>
            </w:pPr>
            <w:r w:rsidRPr="000C2797">
              <w:t>shrink wrapping</w:t>
            </w:r>
          </w:p>
          <w:p w:rsidR="00000000" w:rsidRPr="000C2797" w:rsidP="000C2797">
            <w:pPr>
              <w:pStyle w:val="ListBullet"/>
            </w:pPr>
            <w:r w:rsidRPr="000C2797">
              <w:t>wrapping in bubble wrap</w:t>
            </w:r>
          </w:p>
          <w:p w:rsidR="00000000" w:rsidRPr="000C2797" w:rsidP="000C2797">
            <w:pPr>
              <w:pStyle w:val="ListBullet"/>
            </w:pPr>
            <w:r w:rsidRPr="000C2797">
              <w:t>polystyrene packing</w:t>
            </w:r>
          </w:p>
          <w:p w:rsidR="00000000" w:rsidRPr="000C2797" w:rsidP="000C2797">
            <w:pPr>
              <w:pStyle w:val="ListBullet"/>
            </w:pPr>
            <w:r w:rsidRPr="000C2797">
              <w:t>pallets</w:t>
            </w:r>
          </w:p>
          <w:p w:rsidR="00000000" w:rsidRPr="000C2797" w:rsidP="000C2797">
            <w:pPr>
              <w:pStyle w:val="ListBullet"/>
            </w:pPr>
            <w:r w:rsidRPr="000C2797">
              <w:t xml:space="preserve">crates/boxes </w:t>
            </w:r>
          </w:p>
          <w:p w:rsidR="00000000" w:rsidRPr="000C2797" w:rsidP="000C2797">
            <w:pPr>
              <w:pStyle w:val="ListBullet"/>
            </w:pPr>
            <w:r w:rsidRPr="000C2797">
              <w:t>other methods</w:t>
            </w:r>
          </w:p>
          <w:p w:rsidR="00000000" w:rsidRPr="000C2797" w:rsidP="000C2797">
            <w:pPr>
              <w:pStyle w:val="ListBullet"/>
            </w:pPr>
            <w:r w:rsidRPr="000C2797">
              <w:t>packing tape</w:t>
            </w:r>
          </w:p>
          <w:p w:rsidR="00000000" w:rsidRPr="000C2797" w:rsidP="000C2797">
            <w:pPr>
              <w:pStyle w:val="ListBullet"/>
            </w:pPr>
            <w:r w:rsidRPr="000C2797">
              <w:t>banding</w:t>
            </w:r>
          </w:p>
          <w:p w:rsidR="00000000" w:rsidRPr="000C2797" w:rsidP="000C2797">
            <w:pPr>
              <w:pStyle w:val="ListBullet"/>
            </w:pPr>
            <w:r w:rsidRPr="000C2797">
              <w:t>boxes</w:t>
            </w:r>
          </w:p>
          <w:p w:rsidR="00000000" w:rsidRPr="000C2797" w:rsidP="000C2797">
            <w:pPr>
              <w:pStyle w:val="ListBullet"/>
            </w:pPr>
            <w:r w:rsidRPr="000C2797">
              <w:t>pallet racking</w:t>
            </w:r>
          </w:p>
          <w:p w:rsidR="00000000" w:rsidP="000C2797">
            <w:pPr>
              <w:pStyle w:val="BodyText"/>
              <w:rPr>
                <w:lang w:val="en-NZ"/>
              </w:rPr>
            </w:pPr>
          </w:p>
        </w:tc>
      </w:tr>
      <w:tr w:rsidTr="000C27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rPr>
                <w:rStyle w:val="SpecialBold"/>
              </w:rPr>
              <w:t>Labelled includes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97" w:rsidP="000C2797">
            <w:pPr>
              <w:pStyle w:val="ListBullet"/>
            </w:pPr>
            <w:r w:rsidRPr="000C2797">
              <w:t>labelling to meet requirements of dangerous goods legislation acts and regulations</w:t>
            </w:r>
            <w:r w:rsidRPr="000C2797">
              <w:t xml:space="preserve">, storage of chemicals/poisons, industry codes of practice and environmental codes </w:t>
            </w:r>
          </w:p>
          <w:p w:rsidR="00000000" w:rsidP="000C2797">
            <w:pPr>
              <w:pStyle w:val="BodyText"/>
              <w:rPr>
                <w:lang w:val="en-NZ"/>
              </w:rPr>
            </w:pPr>
          </w:p>
        </w:tc>
      </w:tr>
      <w:tr w:rsidTr="000C27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rPr>
                <w:rStyle w:val="SpecialBold"/>
              </w:rPr>
              <w:t>Documentation includes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97" w:rsidP="000C2797">
            <w:pPr>
              <w:pStyle w:val="ListBullet"/>
            </w:pPr>
            <w:r w:rsidRPr="000C2797">
              <w:t>invoice</w:t>
            </w:r>
          </w:p>
          <w:p w:rsidR="00000000" w:rsidRPr="000C2797" w:rsidP="000C2797">
            <w:pPr>
              <w:pStyle w:val="ListBullet"/>
            </w:pPr>
            <w:r w:rsidRPr="000C2797">
              <w:t>carrier or supplier documentation</w:t>
            </w:r>
          </w:p>
          <w:p w:rsidR="00000000" w:rsidP="000C2797">
            <w:pPr>
              <w:pStyle w:val="BodyText"/>
              <w:rPr>
                <w:lang w:val="en-NZ"/>
              </w:rPr>
            </w:pPr>
          </w:p>
        </w:tc>
      </w:tr>
      <w:tr w:rsidTr="000C27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rPr>
                <w:rStyle w:val="SpecialBold"/>
              </w:rPr>
              <w:t>Loading includes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97" w:rsidP="000C2797">
            <w:pPr>
              <w:pStyle w:val="ListBullet"/>
            </w:pPr>
            <w:r w:rsidRPr="000C2797">
              <w:t>special loading procedures required with respect to hazardous goods, chemicals/poisons and for goods where size, shape, fragility require special procedures</w:t>
            </w:r>
          </w:p>
          <w:p w:rsidR="00000000" w:rsidP="000C2797">
            <w:pPr>
              <w:pStyle w:val="BodyText"/>
              <w:rPr>
                <w:lang w:val="en-NZ"/>
              </w:rPr>
            </w:pPr>
          </w:p>
        </w:tc>
      </w:tr>
      <w:tr w:rsidTr="000C279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2797">
            <w:pPr>
              <w:pStyle w:val="BodyText"/>
              <w:rPr>
                <w:lang w:val="en-NZ"/>
              </w:rPr>
            </w:pPr>
            <w:r w:rsidRPr="000C2797">
              <w:rPr>
                <w:rStyle w:val="SpecialBold"/>
              </w:rPr>
              <w:t>Materials handling techniques and devices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2797" w:rsidP="000C2797">
            <w:pPr>
              <w:pStyle w:val="ListBullet"/>
            </w:pPr>
            <w:r w:rsidRPr="000C2797">
              <w:t>hand trolley</w:t>
            </w:r>
            <w:r w:rsidRPr="000C2797">
              <w:t>s</w:t>
            </w:r>
          </w:p>
          <w:p w:rsidR="00000000" w:rsidRPr="000C2797" w:rsidP="000C2797">
            <w:pPr>
              <w:pStyle w:val="ListBullet"/>
            </w:pPr>
            <w:r w:rsidRPr="000C2797">
              <w:t>wheelbarrows</w:t>
            </w:r>
          </w:p>
          <w:p w:rsidR="00000000" w:rsidRPr="000C2797" w:rsidP="000C2797">
            <w:pPr>
              <w:pStyle w:val="ListBullet"/>
            </w:pPr>
            <w:r w:rsidRPr="000C2797">
              <w:t>motorised/hand pallet trucks (not sit on)</w:t>
            </w:r>
          </w:p>
          <w:p w:rsidR="00000000" w:rsidRPr="000C2797" w:rsidP="000C2797">
            <w:pPr>
              <w:pStyle w:val="ListBullet"/>
            </w:pPr>
            <w:r w:rsidRPr="000C2797">
              <w:t>hand carts</w:t>
            </w:r>
          </w:p>
          <w:p w:rsidR="00000000" w:rsidRPr="000C2797" w:rsidP="000C2797">
            <w:pPr>
              <w:pStyle w:val="ListBullet"/>
            </w:pPr>
            <w:r w:rsidRPr="000C2797">
              <w:t xml:space="preserve">dedicated production or process lifting equipment </w:t>
            </w:r>
          </w:p>
          <w:p w:rsidR="00000000" w:rsidRPr="000C2797" w:rsidP="000C2797">
            <w:pPr>
              <w:pStyle w:val="ListBullet"/>
            </w:pPr>
            <w:r w:rsidRPr="000C2797">
              <w:t>baskets, spreader bars, cradles or the like attached to lifting equipment</w:t>
            </w:r>
          </w:p>
        </w:tc>
      </w:tr>
    </w:tbl>
    <w:p w:rsidR="006A724E" w:rsidP="000C2797">
      <w:pPr>
        <w:pStyle w:val="BodyText"/>
      </w:pPr>
    </w:p>
    <w:p w:rsidR="006A724E" w:rsidP="000C2797">
      <w:pPr>
        <w:pStyle w:val="BodyText"/>
      </w:pPr>
    </w:p>
    <w:p w:rsidR="00000000" w:rsidRPr="000C2797" w:rsidP="000C2797">
      <w:pPr>
        <w:pStyle w:val="Heading1"/>
      </w:pPr>
      <w:bookmarkStart w:id="8" w:name="O_950629"/>
      <w:bookmarkEnd w:id="8"/>
      <w:r w:rsidRPr="000C2797">
        <w:t>Unit Mapping Information</w:t>
      </w:r>
    </w:p>
    <w:p w:rsidR="00000000" w:rsidRPr="000C2797" w:rsidP="006A724E">
      <w:pPr>
        <w:pStyle w:val="BodyText"/>
      </w:pPr>
      <w:r w:rsidRPr="000C2797">
        <w:t xml:space="preserve">Release 1. Supersedes and is equivalent to MEM11014B Undertake warehouse dispatch process </w:t>
      </w:r>
    </w:p>
    <w:p w:rsidR="00000000" w:rsidRPr="000C2797" w:rsidP="000C2797">
      <w:pPr>
        <w:pStyle w:val="Heading1"/>
      </w:pPr>
      <w:bookmarkStart w:id="9" w:name="O_950622"/>
      <w:bookmarkEnd w:id="9"/>
      <w:r w:rsidRPr="000C2797">
        <w:t>Links</w:t>
      </w:r>
    </w:p>
    <w:p w:rsidR="00000000" w:rsidRPr="000C2797" w:rsidP="006A724E">
      <w:pPr>
        <w:pStyle w:val="BodyText"/>
      </w:pPr>
      <w:r w:rsidRPr="000C27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E57D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C2797" w:rsidP="000C2797"/>
    <w:sectPr w:rsidSect="000C27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97" w:rsidRPr="006A724E" w:rsidP="006A72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4E" w:rsidP="000C27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724E" w:rsidP="000C27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724E" w:rsidP="000C27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2797" w:rsidRPr="006A724E" w:rsidP="006A72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7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4E" w:rsidRPr="002D2AF8" w:rsidP="000C27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MEM11014 Undertake warehouse dispatch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A724E" w:rsidP="000C27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848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22A5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7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27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27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27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27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27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27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27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27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27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27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2797"/>
  </w:style>
  <w:style w:type="character" w:customStyle="1" w:styleId="Heading1Char">
    <w:name w:val="Heading 1 Char"/>
    <w:basedOn w:val="DefaultParagraphFont"/>
    <w:link w:val="Heading1"/>
    <w:rsid w:val="000C27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27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27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27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2797"/>
    <w:rPr>
      <w:b/>
      <w:spacing w:val="0"/>
    </w:rPr>
  </w:style>
  <w:style w:type="paragraph" w:customStyle="1" w:styleId="SuperHeading">
    <w:name w:val="SuperHeading"/>
    <w:basedOn w:val="Normal"/>
    <w:rsid w:val="000C27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27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27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27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27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27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27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27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27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27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27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27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27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27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27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27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27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27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27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27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27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27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27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27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27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27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27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27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27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27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27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27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27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27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27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2797"/>
    <w:rPr>
      <w:i/>
    </w:rPr>
  </w:style>
  <w:style w:type="paragraph" w:styleId="Caption">
    <w:name w:val="caption"/>
    <w:basedOn w:val="BodyText"/>
    <w:next w:val="Normal"/>
    <w:qFormat/>
    <w:rsid w:val="000C27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27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27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2797"/>
  </w:style>
  <w:style w:type="paragraph" w:styleId="TableofFigures">
    <w:name w:val="table of figures"/>
    <w:basedOn w:val="Normal"/>
    <w:next w:val="Normal"/>
    <w:semiHidden/>
    <w:rsid w:val="000C27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27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2797"/>
    <w:rPr>
      <w:rFonts w:ascii="Wingdings" w:hAnsi="Wingdings"/>
    </w:rPr>
  </w:style>
  <w:style w:type="paragraph" w:customStyle="1" w:styleId="TableHeading">
    <w:name w:val="Table Heading"/>
    <w:basedOn w:val="HeadingBase"/>
    <w:rsid w:val="000C27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2797"/>
    <w:rPr>
      <w:color w:val="0033CC"/>
      <w:u w:val="none"/>
    </w:rPr>
  </w:style>
  <w:style w:type="paragraph" w:customStyle="1" w:styleId="BodyTextRight">
    <w:name w:val="Body Text Right"/>
    <w:basedOn w:val="BodyText"/>
    <w:rsid w:val="000C27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27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27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27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27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27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2797"/>
    <w:rPr>
      <w:sz w:val="32"/>
    </w:rPr>
  </w:style>
  <w:style w:type="paragraph" w:customStyle="1" w:styleId="HeadingProcedure">
    <w:name w:val="Heading Procedure"/>
    <w:basedOn w:val="HeadingBase"/>
    <w:next w:val="Normal"/>
    <w:rsid w:val="000C27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2797"/>
    <w:pPr>
      <w:spacing w:before="60" w:after="60"/>
    </w:pPr>
  </w:style>
  <w:style w:type="paragraph" w:styleId="ListContinue">
    <w:name w:val="List Continue"/>
    <w:basedOn w:val="List"/>
    <w:rsid w:val="000C2797"/>
    <w:pPr>
      <w:ind w:firstLine="0"/>
    </w:pPr>
  </w:style>
  <w:style w:type="paragraph" w:customStyle="1" w:styleId="ListNote">
    <w:name w:val="List Note"/>
    <w:basedOn w:val="List"/>
    <w:rsid w:val="000C27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27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27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2797"/>
    <w:rPr>
      <w:rFonts w:ascii="Courier New" w:hAnsi="Courier New"/>
    </w:rPr>
  </w:style>
  <w:style w:type="paragraph" w:customStyle="1" w:styleId="NoteBullet">
    <w:name w:val="Note Bullet"/>
    <w:basedOn w:val="Note"/>
    <w:rsid w:val="000C27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27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27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27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27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27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27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2797"/>
    <w:rPr>
      <w:b/>
      <w:smallCaps/>
    </w:rPr>
  </w:style>
  <w:style w:type="paragraph" w:customStyle="1" w:styleId="TableListNumber">
    <w:name w:val="Table List Number"/>
    <w:basedOn w:val="ListNumber"/>
    <w:rsid w:val="000C27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27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2797"/>
    <w:pPr>
      <w:numPr>
        <w:numId w:val="8"/>
      </w:numPr>
    </w:pPr>
  </w:style>
  <w:style w:type="paragraph" w:customStyle="1" w:styleId="ListAlpha2">
    <w:name w:val="List Alpha 2"/>
    <w:basedOn w:val="List2"/>
    <w:rsid w:val="000C2797"/>
    <w:pPr>
      <w:numPr>
        <w:numId w:val="7"/>
      </w:numPr>
    </w:pPr>
  </w:style>
  <w:style w:type="paragraph" w:styleId="List2">
    <w:name w:val="List 2"/>
    <w:basedOn w:val="BodyText"/>
    <w:rsid w:val="000C27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27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27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27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27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27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2797"/>
    <w:pPr>
      <w:numPr>
        <w:numId w:val="3"/>
      </w:numPr>
    </w:pPr>
  </w:style>
  <w:style w:type="paragraph" w:styleId="ListContinue2">
    <w:name w:val="List Continue 2"/>
    <w:basedOn w:val="List2"/>
    <w:rsid w:val="000C2797"/>
    <w:pPr>
      <w:ind w:firstLine="0"/>
    </w:pPr>
  </w:style>
  <w:style w:type="paragraph" w:styleId="ListContinue3">
    <w:name w:val="List Continue 3"/>
    <w:basedOn w:val="List3"/>
    <w:rsid w:val="000C2797"/>
    <w:pPr>
      <w:ind w:left="1021" w:firstLine="0"/>
    </w:pPr>
  </w:style>
  <w:style w:type="paragraph" w:styleId="ListContinue4">
    <w:name w:val="List Continue 4"/>
    <w:basedOn w:val="List4"/>
    <w:rsid w:val="000C2797"/>
    <w:pPr>
      <w:ind w:firstLine="0"/>
    </w:pPr>
  </w:style>
  <w:style w:type="paragraph" w:styleId="ListContinue5">
    <w:name w:val="List Continue 5"/>
    <w:basedOn w:val="List5"/>
    <w:rsid w:val="000C2797"/>
    <w:pPr>
      <w:ind w:firstLine="0"/>
    </w:pPr>
  </w:style>
  <w:style w:type="paragraph" w:styleId="ListNumber3">
    <w:name w:val="List Number 3"/>
    <w:basedOn w:val="List3"/>
    <w:rsid w:val="000C2797"/>
    <w:pPr>
      <w:numPr>
        <w:numId w:val="4"/>
      </w:numPr>
    </w:pPr>
  </w:style>
  <w:style w:type="paragraph" w:styleId="ListNumber4">
    <w:name w:val="List Number 4"/>
    <w:basedOn w:val="List4"/>
    <w:rsid w:val="000C2797"/>
    <w:pPr>
      <w:numPr>
        <w:numId w:val="5"/>
      </w:numPr>
    </w:pPr>
  </w:style>
  <w:style w:type="paragraph" w:styleId="ListNumber5">
    <w:name w:val="List Number 5"/>
    <w:basedOn w:val="List5"/>
    <w:rsid w:val="000C2797"/>
    <w:pPr>
      <w:numPr>
        <w:numId w:val="6"/>
      </w:numPr>
    </w:pPr>
  </w:style>
  <w:style w:type="paragraph" w:styleId="BlockText">
    <w:name w:val="Block Text"/>
    <w:basedOn w:val="Normal"/>
    <w:rsid w:val="000C27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27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2797"/>
    <w:rPr>
      <w:sz w:val="16"/>
      <w:vertAlign w:val="superscript"/>
    </w:rPr>
  </w:style>
  <w:style w:type="character" w:customStyle="1" w:styleId="Symbols">
    <w:name w:val="Symbols"/>
    <w:basedOn w:val="DefaultParagraphFont"/>
    <w:rsid w:val="000C2797"/>
    <w:rPr>
      <w:rFonts w:ascii="Symbol" w:hAnsi="Symbol"/>
    </w:rPr>
  </w:style>
  <w:style w:type="character" w:customStyle="1" w:styleId="MenuOptions">
    <w:name w:val="Menu Options"/>
    <w:basedOn w:val="DefaultParagraphFont"/>
    <w:rsid w:val="000C27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2797"/>
    <w:rPr>
      <w:b/>
    </w:rPr>
  </w:style>
  <w:style w:type="character" w:customStyle="1" w:styleId="Underlined">
    <w:name w:val="Underlined"/>
    <w:basedOn w:val="DefaultParagraphFont"/>
    <w:rsid w:val="000C2797"/>
    <w:rPr>
      <w:u w:val="single"/>
    </w:rPr>
  </w:style>
  <w:style w:type="paragraph" w:customStyle="1" w:styleId="TableBodyTextRight">
    <w:name w:val="Table Body Text Right"/>
    <w:basedOn w:val="TableBodyText"/>
    <w:rsid w:val="000C27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2797"/>
    <w:rPr>
      <w:sz w:val="18"/>
    </w:rPr>
  </w:style>
  <w:style w:type="paragraph" w:customStyle="1" w:styleId="BodySmallRight">
    <w:name w:val="Body Small Right"/>
    <w:basedOn w:val="BodyTextRight"/>
    <w:rsid w:val="000C2797"/>
    <w:rPr>
      <w:sz w:val="18"/>
      <w:szCs w:val="18"/>
    </w:rPr>
  </w:style>
  <w:style w:type="paragraph" w:customStyle="1" w:styleId="MarginEdition">
    <w:name w:val="Margin Edition"/>
    <w:basedOn w:val="MarginNote"/>
    <w:rsid w:val="000C27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2797"/>
    <w:rPr>
      <w:sz w:val="2"/>
      <w:szCs w:val="2"/>
    </w:rPr>
  </w:style>
  <w:style w:type="character" w:customStyle="1" w:styleId="Small">
    <w:name w:val="Small"/>
    <w:basedOn w:val="DefaultParagraphFont"/>
    <w:rsid w:val="000C2797"/>
    <w:rPr>
      <w:sz w:val="16"/>
    </w:rPr>
  </w:style>
  <w:style w:type="paragraph" w:customStyle="1" w:styleId="WideTable">
    <w:name w:val="Wide Table"/>
    <w:basedOn w:val="Normal"/>
    <w:rsid w:val="000C27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2797"/>
  </w:style>
  <w:style w:type="paragraph" w:styleId="Quote">
    <w:name w:val="Quote"/>
    <w:basedOn w:val="Heading1"/>
    <w:link w:val="QuoteChar"/>
    <w:qFormat/>
    <w:rsid w:val="000C27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27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2797"/>
    <w:pPr>
      <w:pageBreakBefore/>
    </w:pPr>
  </w:style>
  <w:style w:type="paragraph" w:customStyle="1" w:styleId="Border">
    <w:name w:val="Border"/>
    <w:basedOn w:val="Normal"/>
    <w:qFormat/>
    <w:rsid w:val="000C27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27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7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7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27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27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27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27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27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2797"/>
    <w:rPr>
      <w:u w:val="single"/>
    </w:rPr>
  </w:style>
  <w:style w:type="character" w:customStyle="1" w:styleId="BoldandItalics">
    <w:name w:val="Bold and Italics"/>
    <w:qFormat/>
    <w:rsid w:val="000C2797"/>
    <w:rPr>
      <w:b/>
      <w:i/>
      <w:u w:val="none"/>
    </w:rPr>
  </w:style>
  <w:style w:type="paragraph" w:styleId="BalloonText">
    <w:name w:val="Balloon Text"/>
    <w:basedOn w:val="Normal"/>
    <w:link w:val="BalloonTextChar"/>
    <w:rsid w:val="000C27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27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27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27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27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27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2797"/>
    <w:pPr>
      <w:spacing w:before="0" w:after="0"/>
    </w:pPr>
  </w:style>
  <w:style w:type="paragraph" w:customStyle="1" w:styleId="BodyTextBold">
    <w:name w:val="Body Text Bold"/>
    <w:basedOn w:val="BodyText"/>
    <w:qFormat/>
    <w:rsid w:val="000C2797"/>
    <w:rPr>
      <w:b/>
    </w:rPr>
  </w:style>
  <w:style w:type="character" w:styleId="Hyperlink">
    <w:name w:val="Hyperlink"/>
    <w:basedOn w:val="DefaultParagraphFont"/>
    <w:uiPriority w:val="99"/>
    <w:unhideWhenUsed/>
    <w:rsid w:val="006A72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4377</Characters>
  <Application>Microsoft Office Word</Application>
  <DocSecurity>0</DocSecurity>
  <Lines>208</Lines>
  <Paragraphs>120</Paragraphs>
  <ScaleCrop>false</ScaleCrop>
  <Company>Author-it Software Corporation Ltd.</Company>
  <LinksUpToDate>false</LinksUpToDate>
  <CharactersWithSpaces>4944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MEM11014 Undertake warehouse dispatch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2023-02-03T06:25:00Z</dcterms:created>
  <dcterms:modified xsi:type="dcterms:W3CDTF">2023-02-03T06:25:00Z</dcterms:modified>
</cp:coreProperties>
</file>