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B3E" w:rsidP="004D0B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MEM11011 Undertake manual handling</w:t>
      </w:r>
      <w:r>
        <w:fldChar w:fldCharType="end"/>
      </w:r>
    </w:p>
    <w:p w:rsidR="004D0B3E" w:rsidP="004D0B3E">
      <w:pPr>
        <w:pStyle w:val="Version"/>
        <w:sectPr w:rsidSect="001F0B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0B53" w:rsidP="001F0B53">
      <w:pPr>
        <w:pStyle w:val="SuperHeading"/>
      </w:pPr>
      <w:r w:rsidRPr="001F0B53">
        <w:t>Assessment Requirements for MEM11011 Undertake manual handling</w:t>
      </w:r>
    </w:p>
    <w:p w:rsidR="00000000" w:rsidRPr="001F0B53" w:rsidP="001F0B53">
      <w:pPr>
        <w:pStyle w:val="Heading1"/>
      </w:pPr>
      <w:bookmarkStart w:id="1" w:name="O_950567"/>
      <w:bookmarkEnd w:id="1"/>
      <w:r w:rsidRPr="001F0B53">
        <w:t>Modification History</w:t>
      </w:r>
    </w:p>
    <w:p w:rsidR="00000000" w:rsidRPr="001F0B53" w:rsidP="004D0B3E">
      <w:pPr>
        <w:pStyle w:val="BodyText"/>
      </w:pPr>
      <w:r w:rsidRPr="001F0B53">
        <w:t xml:space="preserve">Release 1. Supersedes and is equivalent to MEM11011B Undertake manual handling </w:t>
      </w:r>
    </w:p>
    <w:p w:rsidR="00000000" w:rsidRPr="001F0B53" w:rsidP="001F0B53">
      <w:pPr>
        <w:pStyle w:val="Heading1"/>
      </w:pPr>
      <w:bookmarkStart w:id="2" w:name="O_950570"/>
      <w:bookmarkEnd w:id="2"/>
      <w:r w:rsidRPr="001F0B53">
        <w:t>Performance Evidence</w:t>
      </w:r>
    </w:p>
    <w:p w:rsidR="00000000" w:rsidRPr="001F0B53" w:rsidP="004D0B3E">
      <w:pPr>
        <w:pStyle w:val="BodyText"/>
      </w:pPr>
      <w:r w:rsidRPr="001F0B53">
        <w:t>Evidence required to demonstrate competence in this unit must be relevant to and satisfy the requirements of the elements and performance criteria on at least two (2) occasions and include:</w:t>
      </w:r>
    </w:p>
    <w:p w:rsidR="00000000" w:rsidRPr="001F0B53" w:rsidP="001F0B53">
      <w:pPr>
        <w:pStyle w:val="ListBullet"/>
      </w:pPr>
      <w:r w:rsidRPr="001F0B53">
        <w:t>following work instructions, standard operating procedures (SOPs)</w:t>
      </w:r>
      <w:r w:rsidRPr="001F0B53">
        <w:t xml:space="preserve"> and safe work practices </w:t>
      </w:r>
    </w:p>
    <w:p w:rsidR="00000000" w:rsidRPr="001F0B53" w:rsidP="001F0B53">
      <w:pPr>
        <w:pStyle w:val="ListBullet"/>
      </w:pPr>
      <w:r w:rsidRPr="001F0B53">
        <w:t>assessing the risks associated with lifting materials manually and determining the most appropriate technique</w:t>
      </w:r>
    </w:p>
    <w:p w:rsidR="00000000" w:rsidRPr="001F0B53" w:rsidP="001F0B53">
      <w:pPr>
        <w:pStyle w:val="ListBullet"/>
      </w:pPr>
      <w:r w:rsidRPr="001F0B53">
        <w:t>selecting and using the appropriate equipment to move/shift materials ensuring safety of personnel and security of mater</w:t>
      </w:r>
      <w:r w:rsidRPr="001F0B53">
        <w:t xml:space="preserve">ial. </w:t>
      </w:r>
    </w:p>
    <w:p w:rsidR="00000000" w:rsidRPr="001F0B53" w:rsidP="001F0B53">
      <w:pPr>
        <w:pStyle w:val="AllowPageBreak"/>
      </w:pPr>
    </w:p>
    <w:p w:rsidR="00000000" w:rsidRPr="001F0B53" w:rsidP="001F0B53">
      <w:pPr>
        <w:pStyle w:val="Heading1"/>
      </w:pPr>
      <w:bookmarkStart w:id="3" w:name="O_950569"/>
      <w:bookmarkEnd w:id="3"/>
      <w:r w:rsidRPr="001F0B53">
        <w:t>Knowledge Evidence</w:t>
      </w:r>
    </w:p>
    <w:p w:rsidR="00000000" w:rsidRPr="001F0B53" w:rsidP="004D0B3E">
      <w:pPr>
        <w:pStyle w:val="BodyText"/>
      </w:pPr>
      <w:r w:rsidRPr="001F0B53">
        <w:t>Evidence required to demonstrate the required knowledge for this unit must be relevant to and satisfy the requirements of the elements and performance criteria and include knowledge of:</w:t>
      </w:r>
    </w:p>
    <w:p w:rsidR="00000000" w:rsidRPr="001F0B53" w:rsidP="001F0B53">
      <w:pPr>
        <w:pStyle w:val="ListBullet"/>
      </w:pPr>
      <w:r w:rsidRPr="001F0B53">
        <w:t>safe work practices and pro</w:t>
      </w:r>
      <w:r w:rsidRPr="001F0B53">
        <w:t>cedures and use of personal protective equipment (PPE)</w:t>
      </w:r>
    </w:p>
    <w:p w:rsidR="00000000" w:rsidRPr="001F0B53" w:rsidP="001F0B53">
      <w:pPr>
        <w:pStyle w:val="ListBullet"/>
      </w:pPr>
      <w:r w:rsidRPr="001F0B53">
        <w:t>manual handling techniques, including individual or team lifting</w:t>
      </w:r>
    </w:p>
    <w:p w:rsidR="00000000" w:rsidRPr="001F0B53" w:rsidP="001F0B53">
      <w:pPr>
        <w:pStyle w:val="ListBullet"/>
      </w:pPr>
      <w:r w:rsidRPr="001F0B53">
        <w:t xml:space="preserve">appropriate equipment associated with move/shift materials </w:t>
      </w:r>
    </w:p>
    <w:p w:rsidR="00000000" w:rsidRPr="001F0B53" w:rsidP="001F0B53">
      <w:pPr>
        <w:pStyle w:val="ListBullet"/>
      </w:pPr>
      <w:r w:rsidRPr="001F0B53">
        <w:t>hazards of incorrect procedures</w:t>
      </w:r>
    </w:p>
    <w:p w:rsidR="00000000" w:rsidRPr="001F0B53" w:rsidP="001F0B53">
      <w:pPr>
        <w:pStyle w:val="ListBullet"/>
      </w:pPr>
      <w:r w:rsidRPr="001F0B53">
        <w:t>Safe Work Australia standards for manual han</w:t>
      </w:r>
      <w:r w:rsidRPr="001F0B53">
        <w:t>dling.</w:t>
      </w:r>
    </w:p>
    <w:p w:rsidR="00000000" w:rsidRPr="001F0B53" w:rsidP="001F0B53">
      <w:pPr>
        <w:pStyle w:val="AllowPageBreak"/>
      </w:pPr>
    </w:p>
    <w:p w:rsidR="00000000" w:rsidRPr="001F0B53" w:rsidP="001F0B53">
      <w:pPr>
        <w:pStyle w:val="Heading1"/>
      </w:pPr>
      <w:bookmarkStart w:id="4" w:name="O_950568"/>
      <w:bookmarkEnd w:id="4"/>
      <w:r w:rsidRPr="001F0B53">
        <w:t>Assessment Conditions</w:t>
      </w:r>
    </w:p>
    <w:p w:rsidR="00000000" w:rsidRPr="001F0B53" w:rsidP="001F0B53">
      <w:pPr>
        <w:pStyle w:val="ListBullet"/>
      </w:pPr>
      <w:r w:rsidRPr="001F0B53">
        <w:t>Assessors must:</w:t>
      </w:r>
    </w:p>
    <w:p w:rsidR="00000000" w:rsidRPr="001F0B53" w:rsidP="001F0B53">
      <w:pPr>
        <w:pStyle w:val="ListBullet2"/>
      </w:pPr>
      <w:r w:rsidRPr="001F0B53">
        <w:t>have vocational competency in undertaking manual handling at least to the level being assessed with relevant industry knowledge and experience</w:t>
      </w:r>
    </w:p>
    <w:p w:rsidR="00000000" w:rsidRPr="001F0B53" w:rsidP="001F0B53">
      <w:pPr>
        <w:pStyle w:val="ListBullet2"/>
      </w:pPr>
      <w:r w:rsidRPr="001F0B53">
        <w:t xml:space="preserve">satisfy the assessor requirements in the </w:t>
      </w:r>
      <w:r w:rsidRPr="001F0B53">
        <w:rPr>
          <w:rStyle w:val="Emphasis"/>
        </w:rPr>
        <w:t>Sta</w:t>
      </w:r>
      <w:r w:rsidRPr="001F0B53">
        <w:rPr>
          <w:rStyle w:val="Emphasis"/>
        </w:rPr>
        <w:t xml:space="preserve">ndards for Registered Training Organisations 2015 </w:t>
      </w:r>
      <w:r w:rsidRPr="001F0B53">
        <w:t>or its replacement</w:t>
      </w:r>
      <w:r w:rsidRPr="001F0B53">
        <w:rPr>
          <w:rStyle w:val="Emphasis"/>
        </w:rPr>
        <w:t xml:space="preserve"> </w:t>
      </w:r>
      <w:r w:rsidRPr="001F0B53">
        <w:t xml:space="preserve">and comply with the </w:t>
      </w:r>
      <w:r w:rsidRPr="001F0B53">
        <w:rPr>
          <w:rStyle w:val="Emphasis"/>
        </w:rPr>
        <w:t xml:space="preserve">National Vocational Education and Training Regulator Act 2011, </w:t>
      </w:r>
      <w:r w:rsidRPr="001F0B53">
        <w:t>its replacement</w:t>
      </w:r>
      <w:r w:rsidRPr="001F0B53">
        <w:rPr>
          <w:rStyle w:val="Emphasis"/>
        </w:rPr>
        <w:t xml:space="preserve"> </w:t>
      </w:r>
      <w:r w:rsidRPr="001F0B53">
        <w:t xml:space="preserve">or equivalent legislation covering VET regulation in a non-referring state/territory as </w:t>
      </w:r>
      <w:r w:rsidRPr="001F0B53">
        <w:t>the case requires</w:t>
      </w:r>
    </w:p>
    <w:p w:rsidR="00000000" w:rsidRPr="001F0B53" w:rsidP="001F0B53">
      <w:pPr>
        <w:pStyle w:val="ListBullet"/>
      </w:pPr>
      <w:r w:rsidRPr="001F0B53">
        <w:t>Where possible assessment must occur in operational workplace situations. Where this is not possible or where personal safety or environmental damage are limiting factors, assessment must occur in a sufficiently rigorous simulated enviro</w:t>
      </w:r>
      <w:r w:rsidRPr="001F0B53">
        <w:t>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1F0B53" w:rsidP="001F0B53">
      <w:pPr>
        <w:pStyle w:val="ListBullet"/>
      </w:pPr>
      <w:r w:rsidRPr="001F0B53">
        <w:t>Conditions for a</w:t>
      </w:r>
      <w:r w:rsidRPr="001F0B53">
        <w:t>ssessment must include access to all tools, equipment, materials and documentation required, including relevant workplace procedures, product and manufacturing specifications</w:t>
      </w:r>
    </w:p>
    <w:p w:rsidR="00000000" w:rsidRPr="001F0B53" w:rsidP="001F0B53">
      <w:pPr>
        <w:pStyle w:val="ListBullet"/>
      </w:pPr>
      <w:r w:rsidRPr="001F0B53">
        <w:t>Assessment processes and techniques must be appropriate to the language, literacy</w:t>
      </w:r>
      <w:r w:rsidRPr="001F0B53">
        <w:t xml:space="preserve"> and numeracy requirements of the work being performed and the needs of the candidate.</w:t>
      </w:r>
    </w:p>
    <w:p w:rsidR="00000000" w:rsidRPr="001F0B53" w:rsidP="001F0B53">
      <w:pPr>
        <w:pStyle w:val="AllowPageBreak"/>
      </w:pPr>
    </w:p>
    <w:p w:rsidR="00000000" w:rsidRPr="001F0B53" w:rsidP="001F0B53">
      <w:pPr>
        <w:pStyle w:val="Heading1"/>
      </w:pPr>
      <w:bookmarkStart w:id="5" w:name="O_950566"/>
      <w:bookmarkEnd w:id="5"/>
      <w:r w:rsidRPr="001F0B53">
        <w:t>Links</w:t>
      </w:r>
    </w:p>
    <w:p w:rsidR="00000000" w:rsidRPr="001F0B53" w:rsidP="004D0B3E">
      <w:pPr>
        <w:pStyle w:val="BodyText"/>
      </w:pPr>
      <w:r w:rsidRPr="001F0B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D683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F0B53" w:rsidP="001F0B53"/>
    <w:sectPr w:rsidSect="001F0B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53" w:rsidRPr="004D0B3E" w:rsidP="004D0B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B3E" w:rsidP="001F0B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0B3E" w:rsidP="001F0B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D0B3E" w:rsidP="001F0B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B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B53" w:rsidRPr="004D0B3E" w:rsidP="004D0B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B3E" w:rsidRPr="002D2AF8" w:rsidP="001F0B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MEM11011 Undertake manual handling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D0B3E" w:rsidP="001F0B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221D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B8F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4454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B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B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B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B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B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B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B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B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B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B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B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B53"/>
  </w:style>
  <w:style w:type="character" w:customStyle="1" w:styleId="Heading1Char">
    <w:name w:val="Heading 1 Char"/>
    <w:basedOn w:val="DefaultParagraphFont"/>
    <w:link w:val="Heading1"/>
    <w:rsid w:val="001F0B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B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B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0B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0B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0B53"/>
    <w:rPr>
      <w:i/>
    </w:rPr>
  </w:style>
  <w:style w:type="paragraph" w:customStyle="1" w:styleId="SuperHeading">
    <w:name w:val="SuperHeading"/>
    <w:basedOn w:val="Normal"/>
    <w:rsid w:val="001F0B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B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0B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B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B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B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B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B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B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B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B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B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B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B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B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B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B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0B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0B53"/>
    <w:rPr>
      <w:b/>
      <w:spacing w:val="0"/>
    </w:rPr>
  </w:style>
  <w:style w:type="paragraph" w:customStyle="1" w:styleId="SuperTitle">
    <w:name w:val="SuperTitle"/>
    <w:basedOn w:val="Title"/>
    <w:rsid w:val="001F0B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B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B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0B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B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B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B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B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B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B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B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B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0B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B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B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B53"/>
  </w:style>
  <w:style w:type="paragraph" w:styleId="TableofFigures">
    <w:name w:val="table of figures"/>
    <w:basedOn w:val="Normal"/>
    <w:next w:val="Normal"/>
    <w:semiHidden/>
    <w:rsid w:val="001F0B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B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0B53"/>
    <w:rPr>
      <w:rFonts w:ascii="Wingdings" w:hAnsi="Wingdings"/>
    </w:rPr>
  </w:style>
  <w:style w:type="paragraph" w:customStyle="1" w:styleId="TableHeading">
    <w:name w:val="Table Heading"/>
    <w:basedOn w:val="HeadingBase"/>
    <w:rsid w:val="001F0B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B53"/>
    <w:rPr>
      <w:color w:val="0033CC"/>
      <w:u w:val="none"/>
    </w:rPr>
  </w:style>
  <w:style w:type="paragraph" w:customStyle="1" w:styleId="BodyTextRight">
    <w:name w:val="Body Text Right"/>
    <w:basedOn w:val="BodyText"/>
    <w:rsid w:val="001F0B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B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B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B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B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B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B53"/>
    <w:rPr>
      <w:sz w:val="32"/>
    </w:rPr>
  </w:style>
  <w:style w:type="paragraph" w:customStyle="1" w:styleId="HeadingProcedure">
    <w:name w:val="Heading Procedure"/>
    <w:basedOn w:val="HeadingBase"/>
    <w:next w:val="Normal"/>
    <w:rsid w:val="001F0B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B53"/>
    <w:pPr>
      <w:spacing w:before="60" w:after="60"/>
    </w:pPr>
  </w:style>
  <w:style w:type="paragraph" w:styleId="ListContinue">
    <w:name w:val="List Continue"/>
    <w:basedOn w:val="List"/>
    <w:rsid w:val="001F0B53"/>
    <w:pPr>
      <w:ind w:firstLine="0"/>
    </w:pPr>
  </w:style>
  <w:style w:type="paragraph" w:customStyle="1" w:styleId="ListNote">
    <w:name w:val="List Note"/>
    <w:basedOn w:val="List"/>
    <w:rsid w:val="001F0B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B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B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B53"/>
    <w:rPr>
      <w:rFonts w:ascii="Courier New" w:hAnsi="Courier New"/>
    </w:rPr>
  </w:style>
  <w:style w:type="paragraph" w:customStyle="1" w:styleId="NoteBullet">
    <w:name w:val="Note Bullet"/>
    <w:basedOn w:val="Note"/>
    <w:rsid w:val="001F0B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B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B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B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B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0B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B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B53"/>
    <w:rPr>
      <w:b/>
      <w:smallCaps/>
    </w:rPr>
  </w:style>
  <w:style w:type="paragraph" w:customStyle="1" w:styleId="TableListNumber">
    <w:name w:val="Table List Number"/>
    <w:basedOn w:val="ListNumber"/>
    <w:rsid w:val="001F0B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B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B53"/>
    <w:pPr>
      <w:numPr>
        <w:numId w:val="9"/>
      </w:numPr>
    </w:pPr>
  </w:style>
  <w:style w:type="paragraph" w:customStyle="1" w:styleId="ListAlpha2">
    <w:name w:val="List Alpha 2"/>
    <w:basedOn w:val="List2"/>
    <w:rsid w:val="001F0B53"/>
    <w:pPr>
      <w:numPr>
        <w:numId w:val="8"/>
      </w:numPr>
    </w:pPr>
  </w:style>
  <w:style w:type="paragraph" w:styleId="List2">
    <w:name w:val="List 2"/>
    <w:basedOn w:val="BodyText"/>
    <w:rsid w:val="001F0B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B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B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B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B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B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0B53"/>
    <w:pPr>
      <w:numPr>
        <w:numId w:val="4"/>
      </w:numPr>
    </w:pPr>
  </w:style>
  <w:style w:type="paragraph" w:styleId="ListContinue2">
    <w:name w:val="List Continue 2"/>
    <w:basedOn w:val="List2"/>
    <w:rsid w:val="001F0B53"/>
    <w:pPr>
      <w:ind w:firstLine="0"/>
    </w:pPr>
  </w:style>
  <w:style w:type="paragraph" w:styleId="ListContinue3">
    <w:name w:val="List Continue 3"/>
    <w:basedOn w:val="List3"/>
    <w:rsid w:val="001F0B53"/>
    <w:pPr>
      <w:ind w:left="1021" w:firstLine="0"/>
    </w:pPr>
  </w:style>
  <w:style w:type="paragraph" w:styleId="ListContinue4">
    <w:name w:val="List Continue 4"/>
    <w:basedOn w:val="List4"/>
    <w:rsid w:val="001F0B53"/>
    <w:pPr>
      <w:ind w:firstLine="0"/>
    </w:pPr>
  </w:style>
  <w:style w:type="paragraph" w:styleId="ListContinue5">
    <w:name w:val="List Continue 5"/>
    <w:basedOn w:val="List5"/>
    <w:rsid w:val="001F0B53"/>
    <w:pPr>
      <w:ind w:firstLine="0"/>
    </w:pPr>
  </w:style>
  <w:style w:type="paragraph" w:styleId="ListNumber3">
    <w:name w:val="List Number 3"/>
    <w:basedOn w:val="List3"/>
    <w:rsid w:val="001F0B53"/>
    <w:pPr>
      <w:numPr>
        <w:numId w:val="5"/>
      </w:numPr>
    </w:pPr>
  </w:style>
  <w:style w:type="paragraph" w:styleId="ListNumber4">
    <w:name w:val="List Number 4"/>
    <w:basedOn w:val="List4"/>
    <w:rsid w:val="001F0B53"/>
    <w:pPr>
      <w:numPr>
        <w:numId w:val="6"/>
      </w:numPr>
    </w:pPr>
  </w:style>
  <w:style w:type="paragraph" w:styleId="ListNumber5">
    <w:name w:val="List Number 5"/>
    <w:basedOn w:val="List5"/>
    <w:rsid w:val="001F0B53"/>
    <w:pPr>
      <w:numPr>
        <w:numId w:val="7"/>
      </w:numPr>
    </w:pPr>
  </w:style>
  <w:style w:type="paragraph" w:styleId="BlockText">
    <w:name w:val="Block Text"/>
    <w:basedOn w:val="Normal"/>
    <w:rsid w:val="001F0B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B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B53"/>
    <w:rPr>
      <w:sz w:val="16"/>
      <w:vertAlign w:val="superscript"/>
    </w:rPr>
  </w:style>
  <w:style w:type="character" w:customStyle="1" w:styleId="Symbols">
    <w:name w:val="Symbols"/>
    <w:basedOn w:val="DefaultParagraphFont"/>
    <w:rsid w:val="001F0B53"/>
    <w:rPr>
      <w:rFonts w:ascii="Symbol" w:hAnsi="Symbol"/>
    </w:rPr>
  </w:style>
  <w:style w:type="character" w:customStyle="1" w:styleId="MenuOptions">
    <w:name w:val="Menu Options"/>
    <w:basedOn w:val="DefaultParagraphFont"/>
    <w:rsid w:val="001F0B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B53"/>
    <w:rPr>
      <w:b/>
    </w:rPr>
  </w:style>
  <w:style w:type="character" w:customStyle="1" w:styleId="Underlined">
    <w:name w:val="Underlined"/>
    <w:basedOn w:val="DefaultParagraphFont"/>
    <w:rsid w:val="001F0B53"/>
    <w:rPr>
      <w:u w:val="single"/>
    </w:rPr>
  </w:style>
  <w:style w:type="paragraph" w:customStyle="1" w:styleId="TableBodyTextRight">
    <w:name w:val="Table Body Text Right"/>
    <w:basedOn w:val="TableBodyText"/>
    <w:rsid w:val="001F0B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B53"/>
    <w:rPr>
      <w:sz w:val="18"/>
    </w:rPr>
  </w:style>
  <w:style w:type="paragraph" w:customStyle="1" w:styleId="BodySmallRight">
    <w:name w:val="Body Small Right"/>
    <w:basedOn w:val="BodyTextRight"/>
    <w:rsid w:val="001F0B53"/>
    <w:rPr>
      <w:sz w:val="18"/>
      <w:szCs w:val="18"/>
    </w:rPr>
  </w:style>
  <w:style w:type="paragraph" w:customStyle="1" w:styleId="MarginEdition">
    <w:name w:val="Margin Edition"/>
    <w:basedOn w:val="MarginNote"/>
    <w:rsid w:val="001F0B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B53"/>
    <w:rPr>
      <w:sz w:val="2"/>
      <w:szCs w:val="2"/>
    </w:rPr>
  </w:style>
  <w:style w:type="character" w:customStyle="1" w:styleId="Small">
    <w:name w:val="Small"/>
    <w:basedOn w:val="DefaultParagraphFont"/>
    <w:rsid w:val="001F0B53"/>
    <w:rPr>
      <w:sz w:val="16"/>
    </w:rPr>
  </w:style>
  <w:style w:type="paragraph" w:customStyle="1" w:styleId="WideTable">
    <w:name w:val="Wide Table"/>
    <w:basedOn w:val="Normal"/>
    <w:rsid w:val="001F0B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B53"/>
  </w:style>
  <w:style w:type="paragraph" w:styleId="Quote">
    <w:name w:val="Quote"/>
    <w:basedOn w:val="Heading1"/>
    <w:link w:val="QuoteChar"/>
    <w:qFormat/>
    <w:rsid w:val="001F0B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B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B53"/>
    <w:pPr>
      <w:pageBreakBefore/>
    </w:pPr>
  </w:style>
  <w:style w:type="paragraph" w:customStyle="1" w:styleId="Border">
    <w:name w:val="Border"/>
    <w:basedOn w:val="Normal"/>
    <w:qFormat/>
    <w:rsid w:val="001F0B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B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B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B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B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B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B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B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B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B53"/>
    <w:rPr>
      <w:u w:val="single"/>
    </w:rPr>
  </w:style>
  <w:style w:type="character" w:customStyle="1" w:styleId="BoldandItalics">
    <w:name w:val="Bold and Italics"/>
    <w:qFormat/>
    <w:rsid w:val="001F0B53"/>
    <w:rPr>
      <w:b/>
      <w:i/>
      <w:u w:val="none"/>
    </w:rPr>
  </w:style>
  <w:style w:type="paragraph" w:styleId="BalloonText">
    <w:name w:val="Balloon Text"/>
    <w:basedOn w:val="Normal"/>
    <w:link w:val="BalloonTextChar"/>
    <w:rsid w:val="001F0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B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B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B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B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B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B53"/>
    <w:pPr>
      <w:spacing w:before="0" w:after="0"/>
    </w:pPr>
  </w:style>
  <w:style w:type="paragraph" w:customStyle="1" w:styleId="BodyTextBold">
    <w:name w:val="Body Text Bold"/>
    <w:basedOn w:val="BodyText"/>
    <w:qFormat/>
    <w:rsid w:val="001F0B53"/>
    <w:rPr>
      <w:b/>
    </w:rPr>
  </w:style>
  <w:style w:type="character" w:styleId="Hyperlink">
    <w:name w:val="Hyperlink"/>
    <w:basedOn w:val="DefaultParagraphFont"/>
    <w:uiPriority w:val="99"/>
    <w:unhideWhenUsed/>
    <w:rsid w:val="004D0B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2554</Characters>
  <Application>Microsoft Office Word</Application>
  <DocSecurity>0</DocSecurity>
  <Lines>55</Lines>
  <Paragraphs>31</Paragraphs>
  <ScaleCrop>false</ScaleCrop>
  <Company>Author-it Software Corporation Ltd.</Company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MEM11011 Undertake manual handling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