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A3E" w:rsidP="00862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MEM11009 Handle/move bulk fluids/gases</w:t>
      </w:r>
      <w:r>
        <w:fldChar w:fldCharType="end"/>
      </w:r>
    </w:p>
    <w:p w:rsidR="00862A3E" w:rsidP="00862A3E">
      <w:pPr>
        <w:pStyle w:val="Version"/>
        <w:sectPr w:rsidSect="00170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321" w:rsidP="00170321">
      <w:pPr>
        <w:pStyle w:val="SuperHeading"/>
      </w:pPr>
      <w:r w:rsidRPr="00170321">
        <w:t>MEM11009 Handle/move bulk fluids/gases</w:t>
      </w:r>
    </w:p>
    <w:p w:rsidR="00000000" w:rsidRPr="00170321" w:rsidP="00170321">
      <w:pPr>
        <w:pStyle w:val="Heading1"/>
      </w:pPr>
      <w:bookmarkStart w:id="1" w:name="O_950533"/>
      <w:bookmarkEnd w:id="1"/>
      <w:r w:rsidRPr="00170321">
        <w:t>Modification History</w:t>
      </w:r>
    </w:p>
    <w:p w:rsidR="00000000" w:rsidRPr="00170321" w:rsidP="00862A3E">
      <w:pPr>
        <w:pStyle w:val="BodyText"/>
      </w:pPr>
      <w:r w:rsidRPr="00170321">
        <w:t xml:space="preserve">Release 1. Supersedes and is equivalent to MEM11009B Handle/move bulk fluids/gases </w:t>
      </w:r>
    </w:p>
    <w:p w:rsidR="00000000" w:rsidRPr="00170321" w:rsidP="00170321">
      <w:pPr>
        <w:pStyle w:val="Heading1"/>
      </w:pPr>
      <w:bookmarkStart w:id="2" w:name="O_950541"/>
      <w:bookmarkEnd w:id="2"/>
      <w:r w:rsidRPr="00170321">
        <w:t>Application</w:t>
      </w:r>
    </w:p>
    <w:p w:rsidR="00000000" w:rsidRPr="00170321" w:rsidP="00862A3E">
      <w:pPr>
        <w:pStyle w:val="BodyText"/>
      </w:pPr>
      <w:r w:rsidRPr="00170321">
        <w:t>This unit of competency defines the skills and knowledge required to determine the appropriate handling methods and storag</w:t>
      </w:r>
      <w:r w:rsidRPr="00170321">
        <w:t xml:space="preserve">e of commercial fluids and gases greater than the quantities required by individuals to do their own jobs and applies to all containers used to store bulk fluids/gases. </w:t>
      </w:r>
    </w:p>
    <w:p w:rsidR="00000000" w:rsidRPr="00170321" w:rsidP="00862A3E">
      <w:pPr>
        <w:pStyle w:val="BodyText"/>
      </w:pPr>
      <w:r w:rsidRPr="00170321">
        <w:t>No licensing, legislative or certification requirements apply to this unit at the tim</w:t>
      </w:r>
      <w:r w:rsidRPr="00170321">
        <w:t>e of publication.</w:t>
      </w:r>
    </w:p>
    <w:p w:rsidR="00000000" w:rsidRPr="00170321" w:rsidP="00862A3E">
      <w:pPr>
        <w:pStyle w:val="BodyText"/>
      </w:pPr>
      <w:r w:rsidRPr="00170321">
        <w:t>Where the storage and handling of dangerous goods is a component of the application of this unit, users should check for relevant regulations and legislation with the appropriate authorities.</w:t>
      </w:r>
    </w:p>
    <w:p w:rsidR="00000000" w:rsidRPr="00170321" w:rsidP="00170321">
      <w:pPr>
        <w:pStyle w:val="BodyText"/>
      </w:pPr>
      <w:r w:rsidRPr="00170321">
        <w:rPr>
          <w:rStyle w:val="SpecialBold"/>
        </w:rPr>
        <w:t>Band</w:t>
      </w:r>
      <w:r w:rsidRPr="00170321">
        <w:t>:</w:t>
      </w:r>
      <w:r w:rsidRPr="00170321">
        <w:tab/>
      </w:r>
      <w:r w:rsidRPr="00170321">
        <w:rPr>
          <w:rStyle w:val="SpecialBold"/>
        </w:rPr>
        <w:t>A</w:t>
      </w:r>
    </w:p>
    <w:p w:rsidR="00000000" w:rsidRPr="00170321" w:rsidP="00170321">
      <w:pPr>
        <w:pStyle w:val="BodyText"/>
      </w:pPr>
      <w:r w:rsidRPr="00170321">
        <w:rPr>
          <w:rStyle w:val="SpecialBold"/>
        </w:rPr>
        <w:t>Unit Weight</w:t>
      </w:r>
      <w:r w:rsidRPr="00170321">
        <w:t>:</w:t>
      </w:r>
      <w:r w:rsidRPr="00170321">
        <w:tab/>
      </w:r>
      <w:r w:rsidRPr="00170321">
        <w:rPr>
          <w:rStyle w:val="SpecialBold"/>
        </w:rPr>
        <w:t>4</w:t>
      </w: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3" w:name="O_950540"/>
      <w:bookmarkEnd w:id="3"/>
      <w:r w:rsidRPr="00170321">
        <w:t>Pre-</w:t>
      </w:r>
      <w:r w:rsidRPr="00170321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Undertake manual handling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Work safely and effectively in manufacturing and engineering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BodyText"/>
            </w:pPr>
            <w:r w:rsidRPr="00170321">
              <w:t>Organise and communicate information</w:t>
            </w:r>
          </w:p>
        </w:tc>
      </w:tr>
    </w:tbl>
    <w:p w:rsidR="00000000" w:rsidRPr="00170321" w:rsidP="00170321">
      <w:pPr>
        <w:pStyle w:val="BodyText"/>
      </w:pP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4" w:name="O_950539"/>
      <w:bookmarkEnd w:id="4"/>
      <w:r w:rsidRPr="00170321">
        <w:t>Competency Field</w:t>
      </w:r>
    </w:p>
    <w:p w:rsidR="00000000" w:rsidRPr="00170321" w:rsidP="00862A3E">
      <w:pPr>
        <w:pStyle w:val="BodyText"/>
      </w:pPr>
      <w:r w:rsidRPr="00170321">
        <w:t>Materials handling</w:t>
      </w:r>
    </w:p>
    <w:p w:rsidR="00000000" w:rsidRPr="00170321" w:rsidP="00170321">
      <w:pPr>
        <w:pStyle w:val="Heading1"/>
      </w:pPr>
      <w:bookmarkStart w:id="5" w:name="O_950537"/>
      <w:bookmarkEnd w:id="5"/>
      <w:r w:rsidRPr="001703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Performance criteria describe the performance needed to demonstrate achievement of the element.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BodyText"/>
            </w:pPr>
            <w:r w:rsidRPr="0017032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Follow standard operating procedures (SOPs)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Comply with work health and safety (WHS) requirements at all times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Use appropriate personal protective equipment (PPE) in accordance with SOPs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Identify job requirements from specifications, job sheets or work instructions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BodyText"/>
            </w:pPr>
            <w:r w:rsidRPr="0017032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Determine handling methods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Determine type of material from labels, colour codes, signage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Interpret and identify all relevant material properties or clarify with appropriately qualified and authorised authority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 xml:space="preserve">Interpret and implement all </w:t>
            </w:r>
            <w:r w:rsidRPr="00170321">
              <w:t>relevant safety and emergency procedures, as required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Interpret and observe all relevant legislation, regulations and codes of practice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Undertake correct and appropriate handling methods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BodyText"/>
            </w:pPr>
            <w:r w:rsidRPr="0017032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Store bulk fluids/gases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Determine correct storage conditions from instructions/manufacturers</w:t>
            </w:r>
            <w:r>
              <w:t>’</w:t>
            </w:r>
            <w:r w:rsidRPr="00170321">
              <w:t xml:space="preserve"> specifications/directions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Check containers for safe and clean use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Fill/empty containers in accordance with procedures, regulations/legislative requirements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Handle containers and move in accordance with site procedures, regulations/legislative requirements</w:t>
            </w:r>
          </w:p>
        </w:tc>
      </w:tr>
      <w:tr w:rsidTr="0017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BodyText"/>
            </w:pPr>
            <w:r w:rsidRPr="00170321">
              <w:t>Label containers in a correct manner and store according to site procedures, regulations/legislative requirements</w:t>
            </w:r>
          </w:p>
        </w:tc>
      </w:tr>
    </w:tbl>
    <w:p w:rsidR="00000000" w:rsidRPr="00170321" w:rsidP="00170321">
      <w:pPr>
        <w:pStyle w:val="BodyText"/>
      </w:pP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6" w:name="O_950536"/>
      <w:bookmarkEnd w:id="6"/>
      <w:r w:rsidRPr="00170321">
        <w:t>Foundation Skill</w:t>
      </w:r>
      <w:r w:rsidRPr="00170321">
        <w:t>s</w:t>
      </w:r>
    </w:p>
    <w:p w:rsidR="00000000" w:rsidRPr="00170321" w:rsidP="00862A3E">
      <w:pPr>
        <w:pStyle w:val="BodyText"/>
      </w:pPr>
      <w:r w:rsidRPr="0017032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70321" w:rsidP="00862A3E">
      <w:pPr>
        <w:pStyle w:val="BodyText"/>
      </w:pPr>
      <w:r w:rsidRPr="00170321">
        <w:t>Foundation skills essential to performance are explicit in the performance criteri</w:t>
      </w:r>
      <w:r w:rsidRPr="00170321">
        <w:t>a of this unit of competency.</w:t>
      </w:r>
    </w:p>
    <w:p w:rsidR="00000000" w:rsidRPr="00170321" w:rsidP="00170321">
      <w:pPr>
        <w:pStyle w:val="Heading1"/>
      </w:pPr>
      <w:bookmarkStart w:id="7" w:name="O_950535"/>
      <w:bookmarkEnd w:id="7"/>
      <w:r w:rsidRPr="00170321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1703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t>This field allows for different work environments and conditions that may affect performance. Essential operating conditions that may be present (depending on the work situation, needs of t</w:t>
            </w:r>
            <w:r w:rsidRPr="00170321">
              <w:t>he candidate, accessibility of the item, and local industry and regional contexts) are included.</w:t>
            </w:r>
          </w:p>
        </w:tc>
      </w:tr>
      <w:tr w:rsidTr="001703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Material properties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ListBullet"/>
            </w:pPr>
            <w:r w:rsidRPr="00170321">
              <w:t>gas</w:t>
            </w:r>
          </w:p>
          <w:p w:rsidR="00000000" w:rsidRPr="00170321" w:rsidP="00170321">
            <w:pPr>
              <w:pStyle w:val="ListBullet"/>
            </w:pPr>
            <w:r w:rsidRPr="00170321">
              <w:t>solid</w:t>
            </w:r>
          </w:p>
          <w:p w:rsidR="00000000" w:rsidRPr="00170321" w:rsidP="00170321">
            <w:pPr>
              <w:pStyle w:val="ListBullet"/>
            </w:pPr>
            <w:r w:rsidRPr="00170321">
              <w:t>liquid</w:t>
            </w:r>
          </w:p>
          <w:p w:rsidR="00000000" w:rsidRPr="00170321" w:rsidP="00170321">
            <w:pPr>
              <w:pStyle w:val="BodyText"/>
            </w:pPr>
          </w:p>
          <w:p w:rsidR="00000000" w:rsidRPr="00170321" w:rsidP="00170321">
            <w:pPr>
              <w:pStyle w:val="BodyText"/>
            </w:pPr>
            <w:r w:rsidRPr="00170321">
              <w:t>Material properties are determined from safety data sheet, dangerous goods code, manifest or register</w:t>
            </w:r>
          </w:p>
          <w:p w:rsidR="00000000" w:rsidP="00170321">
            <w:pPr>
              <w:pStyle w:val="BodyText"/>
              <w:rPr>
                <w:lang w:val="en-NZ"/>
              </w:rPr>
            </w:pPr>
          </w:p>
        </w:tc>
      </w:tr>
      <w:tr w:rsidTr="001703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Safety and emergency procedures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ListBullet"/>
            </w:pPr>
            <w:r w:rsidRPr="00170321">
              <w:t>emergency procedures determined by organisational emergency response plan, and seeking advice from appropriately qualified and/or authorised personnel</w:t>
            </w:r>
          </w:p>
          <w:p w:rsidR="00000000" w:rsidP="00170321">
            <w:pPr>
              <w:pStyle w:val="BodyText"/>
              <w:rPr>
                <w:lang w:val="en-NZ"/>
              </w:rPr>
            </w:pPr>
          </w:p>
        </w:tc>
      </w:tr>
      <w:tr w:rsidTr="001703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Legislation</w:t>
            </w:r>
            <w:r w:rsidRPr="00170321">
              <w:t xml:space="preserve">, </w:t>
            </w:r>
            <w:r w:rsidRPr="00170321">
              <w:rPr>
                <w:rStyle w:val="SpecialBold"/>
              </w:rPr>
              <w:t>regulations and codes of practice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ListBullet"/>
            </w:pPr>
            <w:r w:rsidRPr="00170321">
              <w:t>relevant juri</w:t>
            </w:r>
            <w:r w:rsidRPr="00170321">
              <w:t>sdictions WHS and dangerous goods acts and regulations</w:t>
            </w:r>
          </w:p>
          <w:p w:rsidR="00000000" w:rsidRPr="00170321" w:rsidP="00170321">
            <w:pPr>
              <w:pStyle w:val="ListBullet"/>
            </w:pPr>
            <w:r w:rsidRPr="00170321">
              <w:t>transport of dangerous goods code</w:t>
            </w:r>
          </w:p>
          <w:p w:rsidR="00000000" w:rsidRPr="00170321" w:rsidP="00170321">
            <w:pPr>
              <w:pStyle w:val="ListBullet"/>
            </w:pPr>
            <w:r w:rsidRPr="00170321">
              <w:t>industry codes of practice and standards</w:t>
            </w:r>
          </w:p>
          <w:p w:rsidR="00000000" w:rsidP="00170321">
            <w:pPr>
              <w:pStyle w:val="BodyText"/>
              <w:rPr>
                <w:lang w:val="en-NZ"/>
              </w:rPr>
            </w:pPr>
          </w:p>
        </w:tc>
      </w:tr>
      <w:tr w:rsidTr="0017032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321">
            <w:pPr>
              <w:pStyle w:val="BodyText"/>
              <w:rPr>
                <w:lang w:val="en-NZ"/>
              </w:rPr>
            </w:pPr>
            <w:r w:rsidRPr="00170321">
              <w:rPr>
                <w:rStyle w:val="SpecialBold"/>
              </w:rPr>
              <w:t>Storage conditions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321" w:rsidP="00170321">
            <w:pPr>
              <w:pStyle w:val="ListBullet"/>
            </w:pPr>
            <w:r w:rsidRPr="00170321">
              <w:t>separation and segregation to legislative requirement and dangerous goods code</w:t>
            </w:r>
          </w:p>
          <w:p w:rsidR="00000000" w:rsidRPr="00170321" w:rsidP="00170321">
            <w:pPr>
              <w:pStyle w:val="BodyText"/>
            </w:pPr>
          </w:p>
        </w:tc>
      </w:tr>
    </w:tbl>
    <w:p w:rsidR="00000000" w:rsidRPr="00170321" w:rsidP="00170321">
      <w:pPr>
        <w:pStyle w:val="BodyText"/>
      </w:pP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8" w:name="O_950534"/>
      <w:bookmarkEnd w:id="8"/>
      <w:r w:rsidRPr="00170321">
        <w:t>Unit Mapping Information</w:t>
      </w:r>
    </w:p>
    <w:p w:rsidR="00000000" w:rsidRPr="00170321" w:rsidP="00862A3E">
      <w:pPr>
        <w:pStyle w:val="BodyText"/>
      </w:pPr>
      <w:r w:rsidRPr="00170321">
        <w:t xml:space="preserve">Release 1. Supersedes and is equivalent to MEM11009B Handle/move bulk fluids/gases </w:t>
      </w:r>
    </w:p>
    <w:p w:rsidR="00000000" w:rsidRPr="00170321" w:rsidP="00170321">
      <w:pPr>
        <w:pStyle w:val="Heading1"/>
      </w:pPr>
      <w:bookmarkStart w:id="9" w:name="O_950527"/>
      <w:bookmarkEnd w:id="9"/>
      <w:r w:rsidRPr="00170321">
        <w:t>Links</w:t>
      </w:r>
    </w:p>
    <w:p w:rsidR="00000000" w:rsidRPr="00170321" w:rsidP="00862A3E">
      <w:pPr>
        <w:pStyle w:val="BodyText"/>
      </w:pPr>
      <w:r w:rsidRPr="00170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61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0321" w:rsidP="00862A3E">
      <w:pPr>
        <w:pStyle w:val="BodyText"/>
        <w:sectPr w:rsidSect="001703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0321" w:rsidP="00170321">
      <w:pPr>
        <w:pStyle w:val="SuperHeading"/>
      </w:pPr>
      <w:r w:rsidRPr="00170321">
        <w:t>Assessment Requirements for MEM11009 Handle/move bulk fluids/gases</w:t>
      </w:r>
    </w:p>
    <w:p w:rsidR="00000000" w:rsidRPr="00170321" w:rsidP="00170321">
      <w:pPr>
        <w:pStyle w:val="Heading1"/>
      </w:pPr>
      <w:bookmarkStart w:id="10" w:name="O_950529"/>
      <w:bookmarkEnd w:id="10"/>
      <w:r w:rsidRPr="00170321">
        <w:t>Modification History</w:t>
      </w:r>
    </w:p>
    <w:p w:rsidR="00000000" w:rsidRPr="00170321" w:rsidP="00862A3E">
      <w:pPr>
        <w:pStyle w:val="BodyText"/>
      </w:pPr>
      <w:r w:rsidRPr="00170321">
        <w:t xml:space="preserve">Release 1. Supersedes and is equivalent to MEM11009B Handle/move bulk fluids/gases </w:t>
      </w:r>
    </w:p>
    <w:p w:rsidR="00000000" w:rsidRPr="00170321" w:rsidP="00170321">
      <w:pPr>
        <w:pStyle w:val="Heading1"/>
      </w:pPr>
      <w:bookmarkStart w:id="11" w:name="O_950532"/>
      <w:bookmarkEnd w:id="11"/>
      <w:r w:rsidRPr="00170321">
        <w:t>Performance Evidence</w:t>
      </w:r>
    </w:p>
    <w:p w:rsidR="00000000" w:rsidRPr="00170321" w:rsidP="00862A3E">
      <w:pPr>
        <w:pStyle w:val="BodyText"/>
      </w:pPr>
      <w:r w:rsidRPr="00170321">
        <w:t>Evidence required to demonstrate competence in this unit must be relevant to and satisfy the requirements of the elements and performa</w:t>
      </w:r>
      <w:r w:rsidRPr="00170321">
        <w:t>nce criteria on at least two (2) occasions and include:</w:t>
      </w:r>
    </w:p>
    <w:p w:rsidR="00000000" w:rsidRPr="00170321" w:rsidP="00170321">
      <w:pPr>
        <w:pStyle w:val="ListBullet"/>
      </w:pPr>
      <w:r w:rsidRPr="00170321">
        <w:t xml:space="preserve">following work instructions, standard operating procedures (SOPs) and safe work practices </w:t>
      </w:r>
    </w:p>
    <w:p w:rsidR="00000000" w:rsidRPr="00170321" w:rsidP="00170321">
      <w:pPr>
        <w:pStyle w:val="ListBullet"/>
      </w:pPr>
      <w:r w:rsidRPr="00170321">
        <w:t>identifying and interpreting handling and storage instructions, labels, colour codes, signage and terminology, regulations and industry codes of practice and standards</w:t>
      </w:r>
    </w:p>
    <w:p w:rsidR="00000000" w:rsidRPr="00170321" w:rsidP="00170321">
      <w:pPr>
        <w:pStyle w:val="ListBullet"/>
      </w:pPr>
      <w:r w:rsidRPr="00170321">
        <w:t>communicating effectively with users of the materials and appropriately qualified and au</w:t>
      </w:r>
      <w:r w:rsidRPr="00170321">
        <w:t>thorised authority</w:t>
      </w:r>
    </w:p>
    <w:p w:rsidR="00000000" w:rsidRPr="00170321" w:rsidP="00170321">
      <w:pPr>
        <w:pStyle w:val="ListBullet"/>
      </w:pPr>
      <w:r w:rsidRPr="00170321">
        <w:t>calculating quantities and filling/emptying applicable containers, as required</w:t>
      </w:r>
    </w:p>
    <w:p w:rsidR="00000000" w:rsidRPr="00170321" w:rsidP="00170321">
      <w:pPr>
        <w:pStyle w:val="ListBullet"/>
      </w:pPr>
      <w:r w:rsidRPr="00170321">
        <w:t>storing/handling bulk fluids and gases in accordance with storage conditions, including separation and segregation to legislative and dangerous goods code</w:t>
      </w:r>
    </w:p>
    <w:p w:rsidR="00000000" w:rsidRPr="00170321" w:rsidP="00170321">
      <w:pPr>
        <w:pStyle w:val="ListBullet"/>
      </w:pPr>
      <w:r w:rsidRPr="00170321">
        <w:t>fol</w:t>
      </w:r>
      <w:r w:rsidRPr="00170321">
        <w:t>lowing safety and emergency procedures as determined by organisational emergency response plan and seeking advice from qualified or authorised personnel, as required</w:t>
      </w:r>
    </w:p>
    <w:p w:rsidR="00000000" w:rsidRPr="00170321" w:rsidP="00170321">
      <w:pPr>
        <w:pStyle w:val="ListBullet"/>
      </w:pPr>
      <w:r w:rsidRPr="00170321">
        <w:t>completing all enterprise documentation in accordance with SOPs.</w:t>
      </w: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12" w:name="O_950531"/>
      <w:bookmarkEnd w:id="12"/>
      <w:r w:rsidRPr="00170321">
        <w:t>Knowledg</w:t>
      </w:r>
      <w:r w:rsidRPr="00170321">
        <w:t>e Evidence</w:t>
      </w:r>
    </w:p>
    <w:p w:rsidR="00000000" w:rsidRPr="00170321" w:rsidP="00862A3E">
      <w:pPr>
        <w:pStyle w:val="BodyText"/>
      </w:pPr>
      <w:r w:rsidRPr="00170321">
        <w:t>Evidence required to demonstrate the required knowledge for this unit must be relevant to and satisfy the requirements of the elements and performance criteria and include knowledge of:</w:t>
      </w:r>
    </w:p>
    <w:p w:rsidR="00000000" w:rsidRPr="00170321" w:rsidP="00170321">
      <w:pPr>
        <w:pStyle w:val="ListBullet"/>
      </w:pPr>
      <w:r w:rsidRPr="00170321">
        <w:t>safe work practices and procedures and use of personal pro</w:t>
      </w:r>
      <w:r w:rsidRPr="00170321">
        <w:t xml:space="preserve">tective equipment (PPE) for various substances </w:t>
      </w:r>
    </w:p>
    <w:p w:rsidR="00000000" w:rsidRPr="00170321" w:rsidP="00170321">
      <w:pPr>
        <w:pStyle w:val="ListBullet"/>
      </w:pPr>
      <w:r w:rsidRPr="00170321">
        <w:t>work health and safety (WHS) and dangerous goods acts and regulations, transport of dangerous goods code, industry codes of practice and standards, and relevant legislative requirements</w:t>
      </w:r>
    </w:p>
    <w:p w:rsidR="00000000" w:rsidRPr="00170321" w:rsidP="00170321">
      <w:pPr>
        <w:pStyle w:val="ListBullet"/>
      </w:pPr>
      <w:r w:rsidRPr="00170321">
        <w:t>organisation</w:t>
      </w:r>
      <w:r>
        <w:t>’</w:t>
      </w:r>
      <w:r w:rsidRPr="00170321">
        <w:t>s emergen</w:t>
      </w:r>
      <w:r w:rsidRPr="00170321">
        <w:t>cy response plan</w:t>
      </w:r>
    </w:p>
    <w:p w:rsidR="00000000" w:rsidRPr="00170321" w:rsidP="00170321">
      <w:pPr>
        <w:pStyle w:val="ListBullet"/>
      </w:pPr>
      <w:r w:rsidRPr="00170321">
        <w:t xml:space="preserve">purpose and application of labels, colour codes and signage as applied to bulk fluids and gases </w:t>
      </w:r>
    </w:p>
    <w:p w:rsidR="00000000" w:rsidRPr="00170321" w:rsidP="00170321">
      <w:pPr>
        <w:pStyle w:val="ListBullet"/>
      </w:pPr>
      <w:r w:rsidRPr="00170321">
        <w:t>safety data sheets</w:t>
      </w:r>
    </w:p>
    <w:p w:rsidR="00000000" w:rsidRPr="00170321" w:rsidP="00170321">
      <w:pPr>
        <w:pStyle w:val="ListBullet"/>
      </w:pPr>
      <w:r w:rsidRPr="00170321">
        <w:t>procedures for filling and emptying storage containers</w:t>
      </w:r>
    </w:p>
    <w:p w:rsidR="00000000" w:rsidRPr="00170321" w:rsidP="00170321">
      <w:pPr>
        <w:pStyle w:val="ListBullet"/>
      </w:pPr>
      <w:r w:rsidRPr="00170321">
        <w:t>packaging requirements for dangerous goods</w:t>
      </w:r>
    </w:p>
    <w:p w:rsidR="00000000" w:rsidRPr="00170321" w:rsidP="00170321">
      <w:pPr>
        <w:pStyle w:val="ListBullet"/>
      </w:pPr>
      <w:r w:rsidRPr="00170321">
        <w:t>cleaning requirements for</w:t>
      </w:r>
      <w:r w:rsidRPr="00170321">
        <w:t xml:space="preserve"> storage containers.</w:t>
      </w: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13" w:name="O_950530"/>
      <w:bookmarkEnd w:id="13"/>
      <w:r w:rsidRPr="00170321">
        <w:t>Assessment Conditions</w:t>
      </w:r>
    </w:p>
    <w:p w:rsidR="00000000" w:rsidRPr="00170321" w:rsidP="00170321">
      <w:pPr>
        <w:pStyle w:val="ListBullet"/>
      </w:pPr>
      <w:r w:rsidRPr="00170321">
        <w:t>Assessors must:</w:t>
      </w:r>
    </w:p>
    <w:p w:rsidR="00000000" w:rsidRPr="00170321" w:rsidP="00170321">
      <w:pPr>
        <w:pStyle w:val="ListBullet2"/>
      </w:pPr>
      <w:r w:rsidRPr="00170321">
        <w:t>have vocational competency in handling/moving bulk fluids/gases at least to the level being assessed with relevant industry knowledge and experience</w:t>
      </w:r>
    </w:p>
    <w:p w:rsidR="00000000" w:rsidRPr="00170321" w:rsidP="00170321">
      <w:pPr>
        <w:pStyle w:val="ListBullet2"/>
      </w:pPr>
      <w:r w:rsidRPr="00170321">
        <w:t xml:space="preserve">satisfy the assessor requirements in the </w:t>
      </w:r>
      <w:r w:rsidRPr="00170321">
        <w:rPr>
          <w:rStyle w:val="Emphasis"/>
        </w:rPr>
        <w:t xml:space="preserve">Standards for Registered Training Organisations 2015 </w:t>
      </w:r>
      <w:r w:rsidRPr="00170321">
        <w:t>or its replacement</w:t>
      </w:r>
      <w:r w:rsidRPr="00170321">
        <w:rPr>
          <w:rStyle w:val="Emphasis"/>
        </w:rPr>
        <w:t xml:space="preserve"> </w:t>
      </w:r>
      <w:r w:rsidRPr="00170321">
        <w:t xml:space="preserve">and comply with the </w:t>
      </w:r>
      <w:r w:rsidRPr="00170321">
        <w:rPr>
          <w:rStyle w:val="Emphasis"/>
        </w:rPr>
        <w:t xml:space="preserve">National Vocational Education and Training Regulator Act 2011, </w:t>
      </w:r>
      <w:r w:rsidRPr="00170321">
        <w:t>its replacement</w:t>
      </w:r>
      <w:r w:rsidRPr="00170321">
        <w:rPr>
          <w:rStyle w:val="Emphasis"/>
        </w:rPr>
        <w:t xml:space="preserve"> </w:t>
      </w:r>
      <w:r w:rsidRPr="00170321">
        <w:t>or equivalent legislation covering VET regul</w:t>
      </w:r>
      <w:r w:rsidRPr="00170321">
        <w:t>ation in a non-referring state/territory as the case requires</w:t>
      </w:r>
    </w:p>
    <w:p w:rsidR="00000000" w:rsidRPr="00170321" w:rsidP="00170321">
      <w:pPr>
        <w:pStyle w:val="ListBullet"/>
      </w:pPr>
      <w:r w:rsidRPr="00170321">
        <w:t>Where possible assessment must occur in operational workplace situations. Where this is not possible or where personal safety or environmental damage are limiting factors, assessment must occur</w:t>
      </w:r>
      <w:r w:rsidRPr="00170321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170321">
        <w:t>job role environment skills</w:t>
      </w:r>
    </w:p>
    <w:p w:rsidR="00000000" w:rsidRPr="00170321" w:rsidP="00170321">
      <w:pPr>
        <w:pStyle w:val="ListBullet"/>
      </w:pPr>
      <w:r w:rsidRPr="00170321">
        <w:t>Conditions for assessment must include access to all tools, equipment, materials and documentation required, including relevant workplace procedures, product and manufacturing specifications</w:t>
      </w:r>
    </w:p>
    <w:p w:rsidR="00000000" w:rsidRPr="00170321" w:rsidP="00170321">
      <w:pPr>
        <w:pStyle w:val="ListBullet"/>
      </w:pPr>
      <w:r w:rsidRPr="00170321">
        <w:t>Assessment processes and techniques m</w:t>
      </w:r>
      <w:r w:rsidRPr="00170321">
        <w:t>ust be appropriate to the language, literacy and numeracy requirements of the work being performed and the needs of the candidate.</w:t>
      </w:r>
    </w:p>
    <w:p w:rsidR="00000000" w:rsidRPr="00170321" w:rsidP="00170321">
      <w:pPr>
        <w:pStyle w:val="AllowPageBreak"/>
      </w:pPr>
    </w:p>
    <w:p w:rsidR="00000000" w:rsidRPr="00170321" w:rsidP="00170321">
      <w:pPr>
        <w:pStyle w:val="Heading1"/>
      </w:pPr>
      <w:bookmarkStart w:id="14" w:name="O_950528"/>
      <w:bookmarkEnd w:id="14"/>
      <w:r w:rsidRPr="00170321">
        <w:t>Links</w:t>
      </w:r>
    </w:p>
    <w:p w:rsidR="00000000" w:rsidRPr="00170321" w:rsidP="00862A3E">
      <w:pPr>
        <w:pStyle w:val="BodyText"/>
      </w:pPr>
      <w:r w:rsidRPr="00170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617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0321" w:rsidP="00170321"/>
    <w:sectPr w:rsidSect="001703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 w:rsidRPr="00862A3E" w:rsidP="00862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A3E" w:rsidP="0017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A3E" w:rsidP="0017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2A3E" w:rsidP="001703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 w:rsidP="0017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2A3E">
      <w:t>Approved</w:t>
    </w:r>
    <w:r w:rsidR="00862A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2A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2A3E">
      <w:rPr>
        <w:noProof/>
      </w:rPr>
      <w:t>4</w:t>
    </w:r>
    <w:r>
      <w:rPr>
        <w:noProof/>
      </w:rPr>
      <w:fldChar w:fldCharType="end"/>
    </w:r>
  </w:p>
  <w:p w:rsidR="00170321" w:rsidP="0017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2A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2A3E">
      <w:t>Manufacturing Industry Skills Alliance</w:t>
    </w:r>
    <w:r w:rsidR="00862A3E">
      <w:fldChar w:fldCharType="end"/>
    </w:r>
  </w:p>
  <w:p w:rsidR="00170321" w:rsidP="00170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321" w:rsidRPr="00862A3E" w:rsidP="00862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A3E" w:rsidRPr="002D2AF8" w:rsidP="0017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MEM11009 Handle/move bulk fluids/gases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2A3E" w:rsidP="001703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21" w:rsidRPr="002D2AF8" w:rsidP="0017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2A3E">
      <w:t>MEM11009 Handle/move bulk fluids/gases</w:t>
    </w:r>
    <w:r w:rsidR="00862A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2A3E">
      <w:rPr>
        <w:noProof/>
      </w:rPr>
      <w:t>2 March 2025</w:t>
    </w:r>
    <w:r>
      <w:fldChar w:fldCharType="end"/>
    </w:r>
  </w:p>
  <w:p w:rsidR="00170321" w:rsidP="00170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69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AA4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24D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321"/>
  </w:style>
  <w:style w:type="character" w:customStyle="1" w:styleId="Heading1Char">
    <w:name w:val="Heading 1 Char"/>
    <w:basedOn w:val="DefaultParagraphFont"/>
    <w:link w:val="Heading1"/>
    <w:rsid w:val="00170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3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321"/>
    <w:rPr>
      <w:b/>
      <w:spacing w:val="0"/>
    </w:rPr>
  </w:style>
  <w:style w:type="paragraph" w:styleId="ListBullet2">
    <w:name w:val="List Bullet 2"/>
    <w:basedOn w:val="List2"/>
    <w:rsid w:val="001703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0321"/>
    <w:rPr>
      <w:i/>
    </w:rPr>
  </w:style>
  <w:style w:type="paragraph" w:customStyle="1" w:styleId="SuperHeading">
    <w:name w:val="SuperHeading"/>
    <w:basedOn w:val="Normal"/>
    <w:rsid w:val="00170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0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321"/>
  </w:style>
  <w:style w:type="paragraph" w:styleId="TableofFigures">
    <w:name w:val="table of figures"/>
    <w:basedOn w:val="Normal"/>
    <w:next w:val="Normal"/>
    <w:semiHidden/>
    <w:rsid w:val="00170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0321"/>
    <w:rPr>
      <w:rFonts w:ascii="Wingdings" w:hAnsi="Wingdings"/>
    </w:rPr>
  </w:style>
  <w:style w:type="paragraph" w:customStyle="1" w:styleId="TableHeading">
    <w:name w:val="Table Heading"/>
    <w:basedOn w:val="HeadingBase"/>
    <w:rsid w:val="00170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321"/>
    <w:rPr>
      <w:color w:val="0033CC"/>
      <w:u w:val="none"/>
    </w:rPr>
  </w:style>
  <w:style w:type="paragraph" w:customStyle="1" w:styleId="BodyTextRight">
    <w:name w:val="Body Text Right"/>
    <w:basedOn w:val="BodyText"/>
    <w:rsid w:val="00170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321"/>
    <w:rPr>
      <w:sz w:val="32"/>
    </w:rPr>
  </w:style>
  <w:style w:type="paragraph" w:customStyle="1" w:styleId="HeadingProcedure">
    <w:name w:val="Heading Procedure"/>
    <w:basedOn w:val="HeadingBase"/>
    <w:next w:val="Normal"/>
    <w:rsid w:val="00170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321"/>
    <w:pPr>
      <w:spacing w:before="60" w:after="60"/>
    </w:pPr>
  </w:style>
  <w:style w:type="paragraph" w:styleId="ListContinue">
    <w:name w:val="List Continue"/>
    <w:basedOn w:val="List"/>
    <w:rsid w:val="00170321"/>
    <w:pPr>
      <w:ind w:firstLine="0"/>
    </w:pPr>
  </w:style>
  <w:style w:type="paragraph" w:customStyle="1" w:styleId="ListNote">
    <w:name w:val="List Note"/>
    <w:basedOn w:val="List"/>
    <w:rsid w:val="00170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321"/>
    <w:rPr>
      <w:rFonts w:ascii="Courier New" w:hAnsi="Courier New"/>
    </w:rPr>
  </w:style>
  <w:style w:type="paragraph" w:customStyle="1" w:styleId="NoteBullet">
    <w:name w:val="Note Bullet"/>
    <w:basedOn w:val="Note"/>
    <w:rsid w:val="00170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0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321"/>
    <w:rPr>
      <w:b/>
      <w:smallCaps/>
    </w:rPr>
  </w:style>
  <w:style w:type="paragraph" w:customStyle="1" w:styleId="TableListNumber">
    <w:name w:val="Table List Number"/>
    <w:basedOn w:val="ListNumber"/>
    <w:rsid w:val="00170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321"/>
    <w:pPr>
      <w:numPr>
        <w:numId w:val="9"/>
      </w:numPr>
    </w:pPr>
  </w:style>
  <w:style w:type="paragraph" w:customStyle="1" w:styleId="ListAlpha2">
    <w:name w:val="List Alpha 2"/>
    <w:basedOn w:val="List2"/>
    <w:rsid w:val="00170321"/>
    <w:pPr>
      <w:numPr>
        <w:numId w:val="8"/>
      </w:numPr>
    </w:pPr>
  </w:style>
  <w:style w:type="paragraph" w:styleId="List2">
    <w:name w:val="List 2"/>
    <w:basedOn w:val="BodyText"/>
    <w:rsid w:val="00170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0321"/>
    <w:pPr>
      <w:numPr>
        <w:numId w:val="4"/>
      </w:numPr>
    </w:pPr>
  </w:style>
  <w:style w:type="paragraph" w:styleId="ListContinue2">
    <w:name w:val="List Continue 2"/>
    <w:basedOn w:val="List2"/>
    <w:rsid w:val="00170321"/>
    <w:pPr>
      <w:ind w:firstLine="0"/>
    </w:pPr>
  </w:style>
  <w:style w:type="paragraph" w:styleId="ListContinue3">
    <w:name w:val="List Continue 3"/>
    <w:basedOn w:val="List3"/>
    <w:rsid w:val="00170321"/>
    <w:pPr>
      <w:ind w:left="1021" w:firstLine="0"/>
    </w:pPr>
  </w:style>
  <w:style w:type="paragraph" w:styleId="ListContinue4">
    <w:name w:val="List Continue 4"/>
    <w:basedOn w:val="List4"/>
    <w:rsid w:val="00170321"/>
    <w:pPr>
      <w:ind w:firstLine="0"/>
    </w:pPr>
  </w:style>
  <w:style w:type="paragraph" w:styleId="ListContinue5">
    <w:name w:val="List Continue 5"/>
    <w:basedOn w:val="List5"/>
    <w:rsid w:val="00170321"/>
    <w:pPr>
      <w:ind w:firstLine="0"/>
    </w:pPr>
  </w:style>
  <w:style w:type="paragraph" w:styleId="ListNumber3">
    <w:name w:val="List Number 3"/>
    <w:basedOn w:val="List3"/>
    <w:rsid w:val="00170321"/>
    <w:pPr>
      <w:numPr>
        <w:numId w:val="5"/>
      </w:numPr>
    </w:pPr>
  </w:style>
  <w:style w:type="paragraph" w:styleId="ListNumber4">
    <w:name w:val="List Number 4"/>
    <w:basedOn w:val="List4"/>
    <w:rsid w:val="00170321"/>
    <w:pPr>
      <w:numPr>
        <w:numId w:val="6"/>
      </w:numPr>
    </w:pPr>
  </w:style>
  <w:style w:type="paragraph" w:styleId="ListNumber5">
    <w:name w:val="List Number 5"/>
    <w:basedOn w:val="List5"/>
    <w:rsid w:val="00170321"/>
    <w:pPr>
      <w:numPr>
        <w:numId w:val="7"/>
      </w:numPr>
    </w:pPr>
  </w:style>
  <w:style w:type="paragraph" w:styleId="BlockText">
    <w:name w:val="Block Text"/>
    <w:basedOn w:val="Normal"/>
    <w:rsid w:val="00170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321"/>
    <w:rPr>
      <w:sz w:val="16"/>
      <w:vertAlign w:val="superscript"/>
    </w:rPr>
  </w:style>
  <w:style w:type="character" w:customStyle="1" w:styleId="Symbols">
    <w:name w:val="Symbols"/>
    <w:basedOn w:val="DefaultParagraphFont"/>
    <w:rsid w:val="00170321"/>
    <w:rPr>
      <w:rFonts w:ascii="Symbol" w:hAnsi="Symbol"/>
    </w:rPr>
  </w:style>
  <w:style w:type="character" w:customStyle="1" w:styleId="MenuOptions">
    <w:name w:val="Menu Options"/>
    <w:basedOn w:val="DefaultParagraphFont"/>
    <w:rsid w:val="00170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321"/>
    <w:rPr>
      <w:b/>
    </w:rPr>
  </w:style>
  <w:style w:type="character" w:customStyle="1" w:styleId="Underlined">
    <w:name w:val="Underlined"/>
    <w:basedOn w:val="DefaultParagraphFont"/>
    <w:rsid w:val="00170321"/>
    <w:rPr>
      <w:u w:val="single"/>
    </w:rPr>
  </w:style>
  <w:style w:type="paragraph" w:customStyle="1" w:styleId="TableBodyTextRight">
    <w:name w:val="Table Body Text Right"/>
    <w:basedOn w:val="TableBodyText"/>
    <w:rsid w:val="00170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321"/>
    <w:rPr>
      <w:sz w:val="18"/>
    </w:rPr>
  </w:style>
  <w:style w:type="paragraph" w:customStyle="1" w:styleId="BodySmallRight">
    <w:name w:val="Body Small Right"/>
    <w:basedOn w:val="BodyTextRight"/>
    <w:rsid w:val="00170321"/>
    <w:rPr>
      <w:sz w:val="18"/>
      <w:szCs w:val="18"/>
    </w:rPr>
  </w:style>
  <w:style w:type="paragraph" w:customStyle="1" w:styleId="MarginEdition">
    <w:name w:val="Margin Edition"/>
    <w:basedOn w:val="MarginNote"/>
    <w:rsid w:val="00170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321"/>
    <w:rPr>
      <w:sz w:val="2"/>
      <w:szCs w:val="2"/>
    </w:rPr>
  </w:style>
  <w:style w:type="character" w:customStyle="1" w:styleId="Small">
    <w:name w:val="Small"/>
    <w:basedOn w:val="DefaultParagraphFont"/>
    <w:rsid w:val="00170321"/>
    <w:rPr>
      <w:sz w:val="16"/>
    </w:rPr>
  </w:style>
  <w:style w:type="paragraph" w:customStyle="1" w:styleId="WideTable">
    <w:name w:val="Wide Table"/>
    <w:basedOn w:val="Normal"/>
    <w:rsid w:val="00170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321"/>
  </w:style>
  <w:style w:type="paragraph" w:styleId="Quote">
    <w:name w:val="Quote"/>
    <w:basedOn w:val="Heading1"/>
    <w:link w:val="QuoteChar"/>
    <w:qFormat/>
    <w:rsid w:val="00170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321"/>
    <w:pPr>
      <w:pageBreakBefore/>
    </w:pPr>
  </w:style>
  <w:style w:type="paragraph" w:customStyle="1" w:styleId="Border">
    <w:name w:val="Border"/>
    <w:basedOn w:val="Normal"/>
    <w:qFormat/>
    <w:rsid w:val="00170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321"/>
    <w:rPr>
      <w:u w:val="single"/>
    </w:rPr>
  </w:style>
  <w:style w:type="character" w:customStyle="1" w:styleId="BoldandItalics">
    <w:name w:val="Bold and Italics"/>
    <w:qFormat/>
    <w:rsid w:val="00170321"/>
    <w:rPr>
      <w:b/>
      <w:i/>
      <w:u w:val="none"/>
    </w:rPr>
  </w:style>
  <w:style w:type="paragraph" w:styleId="BalloonText">
    <w:name w:val="Balloon Text"/>
    <w:basedOn w:val="Normal"/>
    <w:link w:val="BalloonTextChar"/>
    <w:rsid w:val="0017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321"/>
    <w:pPr>
      <w:spacing w:before="0" w:after="0"/>
    </w:pPr>
  </w:style>
  <w:style w:type="paragraph" w:customStyle="1" w:styleId="BodyTextBold">
    <w:name w:val="Body Text Bold"/>
    <w:basedOn w:val="BodyText"/>
    <w:qFormat/>
    <w:rsid w:val="00170321"/>
    <w:rPr>
      <w:b/>
    </w:rPr>
  </w:style>
  <w:style w:type="character" w:styleId="Hyperlink">
    <w:name w:val="Hyperlink"/>
    <w:basedOn w:val="DefaultParagraphFont"/>
    <w:uiPriority w:val="99"/>
    <w:unhideWhenUsed/>
    <w:rsid w:val="00862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6861</Characters>
  <Application>Microsoft Office Word</Application>
  <DocSecurity>0</DocSecurity>
  <Lines>245</Lines>
  <Paragraphs>131</Paragraphs>
  <ScaleCrop>false</ScaleCrop>
  <Company>Author-it Software Corporation Ltd.</Company>
  <LinksUpToDate>false</LinksUpToDate>
  <CharactersWithSpaces>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MEM11009 Handle/move bulk fluids/gases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