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74C" w:rsidP="00B26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MEM11009 Handle/move bulk fluids/gases</w:t>
      </w:r>
      <w:r>
        <w:fldChar w:fldCharType="end"/>
      </w:r>
    </w:p>
    <w:p w:rsidR="00B2674C" w:rsidP="00B2674C">
      <w:pPr>
        <w:pStyle w:val="Version"/>
        <w:sectPr w:rsidSect="00A65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36F" w:rsidP="00A6536F">
      <w:pPr>
        <w:pStyle w:val="SuperHeading"/>
      </w:pPr>
      <w:r w:rsidRPr="00A6536F">
        <w:t>Assessment Requirements for MEM11009 Handle/move bulk fluids/gases</w:t>
      </w:r>
    </w:p>
    <w:p w:rsidR="00000000" w:rsidRPr="00A6536F" w:rsidP="00A6536F">
      <w:pPr>
        <w:pStyle w:val="Heading1"/>
      </w:pPr>
      <w:bookmarkStart w:id="1" w:name="O_950529"/>
      <w:bookmarkEnd w:id="1"/>
      <w:r w:rsidRPr="00A6536F">
        <w:t>Modification History</w:t>
      </w:r>
    </w:p>
    <w:p w:rsidR="00000000" w:rsidRPr="00A6536F" w:rsidP="00B2674C">
      <w:pPr>
        <w:pStyle w:val="BodyText"/>
      </w:pPr>
      <w:r w:rsidRPr="00A6536F">
        <w:t xml:space="preserve">Release 1. Supersedes and is equivalent to MEM11009B Handle/move bulk fluids/gases </w:t>
      </w:r>
    </w:p>
    <w:p w:rsidR="00000000" w:rsidRPr="00A6536F" w:rsidP="00A6536F">
      <w:pPr>
        <w:pStyle w:val="Heading1"/>
      </w:pPr>
      <w:bookmarkStart w:id="2" w:name="O_950532"/>
      <w:bookmarkEnd w:id="2"/>
      <w:r w:rsidRPr="00A6536F">
        <w:t>Performance Evidence</w:t>
      </w:r>
    </w:p>
    <w:p w:rsidR="00000000" w:rsidRPr="00A6536F" w:rsidP="00B2674C">
      <w:pPr>
        <w:pStyle w:val="BodyText"/>
      </w:pPr>
      <w:r w:rsidRPr="00A6536F">
        <w:t>Evidence required to demonstrate competence in this unit must be relevant to and satisfy the requirements of the elements and performance criteria on at least two (2) occasions and include:</w:t>
      </w:r>
    </w:p>
    <w:p w:rsidR="00000000" w:rsidRPr="00A6536F" w:rsidP="00A6536F">
      <w:pPr>
        <w:pStyle w:val="ListBullet"/>
      </w:pPr>
      <w:r w:rsidRPr="00A6536F">
        <w:t>following work instructions, standard operating procedures (SOPs)</w:t>
      </w:r>
      <w:r w:rsidRPr="00A6536F">
        <w:t xml:space="preserve"> and safe work practices </w:t>
      </w:r>
    </w:p>
    <w:p w:rsidR="00000000" w:rsidRPr="00A6536F" w:rsidP="00A6536F">
      <w:pPr>
        <w:pStyle w:val="ListBullet"/>
      </w:pPr>
      <w:r w:rsidRPr="00A6536F">
        <w:t>identifying and interpreting handling and storage instructions, labels, colour codes, signage and terminology, regulations and industry codes of practice and standards</w:t>
      </w:r>
    </w:p>
    <w:p w:rsidR="00000000" w:rsidRPr="00A6536F" w:rsidP="00A6536F">
      <w:pPr>
        <w:pStyle w:val="ListBullet"/>
      </w:pPr>
      <w:r w:rsidRPr="00A6536F">
        <w:t>communicating effectively with users of the materials and appr</w:t>
      </w:r>
      <w:r w:rsidRPr="00A6536F">
        <w:t>opriately qualified and authorised authority</w:t>
      </w:r>
    </w:p>
    <w:p w:rsidR="00000000" w:rsidRPr="00A6536F" w:rsidP="00A6536F">
      <w:pPr>
        <w:pStyle w:val="ListBullet"/>
      </w:pPr>
      <w:r w:rsidRPr="00A6536F">
        <w:t>calculating quantities and filling/emptying applicable containers, as required</w:t>
      </w:r>
    </w:p>
    <w:p w:rsidR="00000000" w:rsidRPr="00A6536F" w:rsidP="00A6536F">
      <w:pPr>
        <w:pStyle w:val="ListBullet"/>
      </w:pPr>
      <w:r w:rsidRPr="00A6536F">
        <w:t>storing/handling bulk fluids and gases in accordance with storage conditions, including separation and segregation to legislative an</w:t>
      </w:r>
      <w:r w:rsidRPr="00A6536F">
        <w:t>d dangerous goods code</w:t>
      </w:r>
    </w:p>
    <w:p w:rsidR="00000000" w:rsidRPr="00A6536F" w:rsidP="00A6536F">
      <w:pPr>
        <w:pStyle w:val="ListBullet"/>
      </w:pPr>
      <w:r w:rsidRPr="00A6536F">
        <w:t>following safety and emergency procedures as determined by organisational emergency response plan and seeking advice from qualified or authorised personnel, as required</w:t>
      </w:r>
    </w:p>
    <w:p w:rsidR="00000000" w:rsidRPr="00A6536F" w:rsidP="00A6536F">
      <w:pPr>
        <w:pStyle w:val="ListBullet"/>
      </w:pPr>
      <w:r w:rsidRPr="00A6536F">
        <w:t>completing all enterprise documentation in accordance with SOPs.</w:t>
      </w:r>
    </w:p>
    <w:p w:rsidR="00000000" w:rsidRPr="00A6536F" w:rsidP="00A6536F">
      <w:pPr>
        <w:pStyle w:val="AllowPageBreak"/>
      </w:pPr>
    </w:p>
    <w:p w:rsidR="00000000" w:rsidRPr="00A6536F" w:rsidP="00A6536F">
      <w:pPr>
        <w:pStyle w:val="Heading1"/>
      </w:pPr>
      <w:bookmarkStart w:id="3" w:name="O_950531"/>
      <w:bookmarkEnd w:id="3"/>
      <w:r w:rsidRPr="00A6536F">
        <w:t>Knowledge Evidence</w:t>
      </w:r>
    </w:p>
    <w:p w:rsidR="00000000" w:rsidRPr="00A6536F" w:rsidP="00B2674C">
      <w:pPr>
        <w:pStyle w:val="BodyText"/>
      </w:pPr>
      <w:r w:rsidRPr="00A6536F">
        <w:t>Evidence required to demonstrate the required knowledge for this unit must be relevant to and satisfy the requirements of the elements and performance criteria and include knowledge of:</w:t>
      </w:r>
    </w:p>
    <w:p w:rsidR="00000000" w:rsidRPr="00A6536F" w:rsidP="00A6536F">
      <w:pPr>
        <w:pStyle w:val="ListBullet"/>
      </w:pPr>
      <w:r w:rsidRPr="00A6536F">
        <w:t>safe work practices and procedur</w:t>
      </w:r>
      <w:r w:rsidRPr="00A6536F">
        <w:t xml:space="preserve">es and use of personal protective equipment (PPE) for various substances </w:t>
      </w:r>
    </w:p>
    <w:p w:rsidR="00000000" w:rsidRPr="00A6536F" w:rsidP="00A6536F">
      <w:pPr>
        <w:pStyle w:val="ListBullet"/>
      </w:pPr>
      <w:r w:rsidRPr="00A6536F">
        <w:t>work health and safety (WHS) and dangerous goods acts and regulations, transport of dangerous goods code, industry codes of practice and standards, and relevant legislative requireme</w:t>
      </w:r>
      <w:r w:rsidRPr="00A6536F">
        <w:t>nts</w:t>
      </w:r>
    </w:p>
    <w:p w:rsidR="00000000" w:rsidRPr="00A6536F" w:rsidP="00A6536F">
      <w:pPr>
        <w:pStyle w:val="ListBullet"/>
      </w:pPr>
      <w:r w:rsidRPr="00A6536F">
        <w:t>organisation</w:t>
      </w:r>
      <w:r>
        <w:t>’</w:t>
      </w:r>
      <w:r w:rsidRPr="00A6536F">
        <w:t>s emergency response plan</w:t>
      </w:r>
    </w:p>
    <w:p w:rsidR="00000000" w:rsidRPr="00A6536F" w:rsidP="00A6536F">
      <w:pPr>
        <w:pStyle w:val="ListBullet"/>
      </w:pPr>
      <w:r w:rsidRPr="00A6536F">
        <w:t xml:space="preserve">purpose and application of labels, colour codes and signage as applied to bulk fluids and gases </w:t>
      </w:r>
    </w:p>
    <w:p w:rsidR="00000000" w:rsidRPr="00A6536F" w:rsidP="00A6536F">
      <w:pPr>
        <w:pStyle w:val="ListBullet"/>
      </w:pPr>
      <w:r w:rsidRPr="00A6536F">
        <w:t>safety data sheets</w:t>
      </w:r>
    </w:p>
    <w:p w:rsidR="00000000" w:rsidRPr="00A6536F" w:rsidP="00A6536F">
      <w:pPr>
        <w:pStyle w:val="ListBullet"/>
      </w:pPr>
      <w:r w:rsidRPr="00A6536F">
        <w:t>procedures for filling and emptying storage containers</w:t>
      </w:r>
    </w:p>
    <w:p w:rsidR="00000000" w:rsidRPr="00A6536F" w:rsidP="00A6536F">
      <w:pPr>
        <w:pStyle w:val="ListBullet"/>
      </w:pPr>
      <w:r w:rsidRPr="00A6536F">
        <w:t>packaging requirements for dangerous goods</w:t>
      </w:r>
    </w:p>
    <w:p w:rsidR="00000000" w:rsidRPr="00A6536F" w:rsidP="00A6536F">
      <w:pPr>
        <w:pStyle w:val="ListBullet"/>
      </w:pPr>
      <w:r w:rsidRPr="00A6536F">
        <w:t>cleaning requirements for storage containers.</w:t>
      </w:r>
    </w:p>
    <w:p w:rsidR="00000000" w:rsidRPr="00A6536F" w:rsidP="00A6536F">
      <w:pPr>
        <w:pStyle w:val="AllowPageBreak"/>
      </w:pPr>
    </w:p>
    <w:p w:rsidR="00000000" w:rsidRPr="00A6536F" w:rsidP="00A6536F">
      <w:pPr>
        <w:pStyle w:val="Heading1"/>
      </w:pPr>
      <w:bookmarkStart w:id="4" w:name="O_950530"/>
      <w:bookmarkEnd w:id="4"/>
      <w:r w:rsidRPr="00A6536F">
        <w:t>Assessment Conditions</w:t>
      </w:r>
    </w:p>
    <w:p w:rsidR="00000000" w:rsidRPr="00A6536F" w:rsidP="00A6536F">
      <w:pPr>
        <w:pStyle w:val="ListBullet"/>
      </w:pPr>
      <w:r w:rsidRPr="00A6536F">
        <w:t>Assessors must:</w:t>
      </w:r>
    </w:p>
    <w:p w:rsidR="00000000" w:rsidRPr="00A6536F" w:rsidP="00A6536F">
      <w:pPr>
        <w:pStyle w:val="ListBullet2"/>
      </w:pPr>
      <w:r w:rsidRPr="00A6536F">
        <w:t>have vocational competency in handling/moving bulk fluids/gases at least to the level being assessed with relevant industry knowledge and experience</w:t>
      </w:r>
    </w:p>
    <w:p w:rsidR="00000000" w:rsidRPr="00A6536F" w:rsidP="00A6536F">
      <w:pPr>
        <w:pStyle w:val="ListBullet2"/>
      </w:pPr>
      <w:r w:rsidRPr="00A6536F">
        <w:t>sat</w:t>
      </w:r>
      <w:r w:rsidRPr="00A6536F">
        <w:t xml:space="preserve">isfy the assessor requirements in the </w:t>
      </w:r>
      <w:r w:rsidRPr="00A6536F">
        <w:rPr>
          <w:rStyle w:val="Emphasis"/>
        </w:rPr>
        <w:t xml:space="preserve">Standards for Registered Training Organisations 2015 </w:t>
      </w:r>
      <w:r w:rsidRPr="00A6536F">
        <w:t>or its replacement</w:t>
      </w:r>
      <w:r w:rsidRPr="00A6536F">
        <w:rPr>
          <w:rStyle w:val="Emphasis"/>
        </w:rPr>
        <w:t xml:space="preserve"> </w:t>
      </w:r>
      <w:r w:rsidRPr="00A6536F">
        <w:t xml:space="preserve">and comply with the </w:t>
      </w:r>
      <w:r w:rsidRPr="00A6536F">
        <w:rPr>
          <w:rStyle w:val="Emphasis"/>
        </w:rPr>
        <w:t xml:space="preserve">National Vocational Education and Training Regulator Act 2011, </w:t>
      </w:r>
      <w:r w:rsidRPr="00A6536F">
        <w:t>its replacement</w:t>
      </w:r>
      <w:r w:rsidRPr="00A6536F">
        <w:rPr>
          <w:rStyle w:val="Emphasis"/>
        </w:rPr>
        <w:t xml:space="preserve"> </w:t>
      </w:r>
      <w:r w:rsidRPr="00A6536F">
        <w:t>or equivalent legislation covering VET regulati</w:t>
      </w:r>
      <w:r w:rsidRPr="00A6536F">
        <w:t>on in a non-referring state/territory as the case requires</w:t>
      </w:r>
    </w:p>
    <w:p w:rsidR="00000000" w:rsidRPr="00A6536F" w:rsidP="00A6536F">
      <w:pPr>
        <w:pStyle w:val="ListBullet"/>
      </w:pPr>
      <w:r w:rsidRPr="00A6536F">
        <w:t>Where possible assessment must occur in operational workplace situations. Where this is not possible or where personal safety or environmental damage are limiting factors, assessment must occur in</w:t>
      </w:r>
      <w:r w:rsidRPr="00A6536F">
        <w:t xml:space="preserve"> a sufficiently rigorous simulated environment that reflects realistic operational workplace conditions. This must cover all aspects of workplace performance, including environment, task skills, task management skills, contingency management skills and job</w:t>
      </w:r>
      <w:r w:rsidRPr="00A6536F">
        <w:t xml:space="preserve"> role environment skills</w:t>
      </w:r>
    </w:p>
    <w:p w:rsidR="00000000" w:rsidRPr="00A6536F" w:rsidP="00A6536F">
      <w:pPr>
        <w:pStyle w:val="ListBullet"/>
      </w:pPr>
      <w:r w:rsidRPr="00A6536F">
        <w:t>Conditions for assessment must include access to all tools, equipment, materials and documentation required, including relevant workplace procedures, product and manufacturing specifications</w:t>
      </w:r>
    </w:p>
    <w:p w:rsidR="00000000" w:rsidRPr="00A6536F" w:rsidP="00A6536F">
      <w:pPr>
        <w:pStyle w:val="ListBullet"/>
      </w:pPr>
      <w:r w:rsidRPr="00A6536F">
        <w:t>Assessment processes and techniques must</w:t>
      </w:r>
      <w:r w:rsidRPr="00A6536F">
        <w:t xml:space="preserve"> be appropriate to the language, literacy and numeracy requirements of the work being performed and the needs of the candidate.</w:t>
      </w:r>
    </w:p>
    <w:p w:rsidR="00000000" w:rsidRPr="00A6536F" w:rsidP="00A6536F">
      <w:pPr>
        <w:pStyle w:val="AllowPageBreak"/>
      </w:pPr>
    </w:p>
    <w:p w:rsidR="00000000" w:rsidRPr="00A6536F" w:rsidP="00A6536F">
      <w:pPr>
        <w:pStyle w:val="Heading1"/>
      </w:pPr>
      <w:bookmarkStart w:id="5" w:name="O_950528"/>
      <w:bookmarkEnd w:id="5"/>
      <w:r w:rsidRPr="00A6536F">
        <w:t>Links</w:t>
      </w:r>
    </w:p>
    <w:p w:rsidR="00000000" w:rsidRPr="00A6536F" w:rsidP="00B2674C">
      <w:pPr>
        <w:pStyle w:val="BodyText"/>
      </w:pPr>
      <w:r w:rsidRPr="00A653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38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6536F" w:rsidP="00A6536F"/>
    <w:sectPr w:rsidSect="00A653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6F" w:rsidRPr="00B2674C" w:rsidP="00B26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4C" w:rsidP="00A65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674C" w:rsidP="00A65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674C" w:rsidP="00A65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36F" w:rsidRPr="00B2674C" w:rsidP="00B26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4C" w:rsidRPr="002D2AF8" w:rsidP="00A65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MEM11009 Handle/move bulk fluids/gases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674C" w:rsidP="00A65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2D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A5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928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36F"/>
  </w:style>
  <w:style w:type="character" w:customStyle="1" w:styleId="Heading1Char">
    <w:name w:val="Heading 1 Char"/>
    <w:basedOn w:val="DefaultParagraphFont"/>
    <w:link w:val="Heading1"/>
    <w:rsid w:val="00A65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3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53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536F"/>
    <w:rPr>
      <w:i/>
    </w:rPr>
  </w:style>
  <w:style w:type="paragraph" w:customStyle="1" w:styleId="SuperHeading">
    <w:name w:val="SuperHeading"/>
    <w:basedOn w:val="Normal"/>
    <w:rsid w:val="00A65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536F"/>
    <w:rPr>
      <w:b/>
      <w:spacing w:val="0"/>
    </w:rPr>
  </w:style>
  <w:style w:type="paragraph" w:customStyle="1" w:styleId="SuperTitle">
    <w:name w:val="SuperTitle"/>
    <w:basedOn w:val="Title"/>
    <w:rsid w:val="00A65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3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36F"/>
  </w:style>
  <w:style w:type="paragraph" w:styleId="TableofFigures">
    <w:name w:val="table of figures"/>
    <w:basedOn w:val="Normal"/>
    <w:next w:val="Normal"/>
    <w:semiHidden/>
    <w:rsid w:val="00A65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36F"/>
    <w:rPr>
      <w:rFonts w:ascii="Wingdings" w:hAnsi="Wingdings"/>
    </w:rPr>
  </w:style>
  <w:style w:type="paragraph" w:customStyle="1" w:styleId="TableHeading">
    <w:name w:val="Table Heading"/>
    <w:basedOn w:val="HeadingBase"/>
    <w:rsid w:val="00A65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36F"/>
    <w:rPr>
      <w:color w:val="0033CC"/>
      <w:u w:val="none"/>
    </w:rPr>
  </w:style>
  <w:style w:type="paragraph" w:customStyle="1" w:styleId="BodyTextRight">
    <w:name w:val="Body Text Right"/>
    <w:basedOn w:val="BodyText"/>
    <w:rsid w:val="00A65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36F"/>
    <w:rPr>
      <w:sz w:val="32"/>
    </w:rPr>
  </w:style>
  <w:style w:type="paragraph" w:customStyle="1" w:styleId="HeadingProcedure">
    <w:name w:val="Heading Procedure"/>
    <w:basedOn w:val="HeadingBase"/>
    <w:next w:val="Normal"/>
    <w:rsid w:val="00A65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36F"/>
    <w:pPr>
      <w:spacing w:before="60" w:after="60"/>
    </w:pPr>
  </w:style>
  <w:style w:type="paragraph" w:styleId="ListContinue">
    <w:name w:val="List Continue"/>
    <w:basedOn w:val="List"/>
    <w:rsid w:val="00A6536F"/>
    <w:pPr>
      <w:ind w:firstLine="0"/>
    </w:pPr>
  </w:style>
  <w:style w:type="paragraph" w:customStyle="1" w:styleId="ListNote">
    <w:name w:val="List Note"/>
    <w:basedOn w:val="List"/>
    <w:rsid w:val="00A65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36F"/>
    <w:rPr>
      <w:rFonts w:ascii="Courier New" w:hAnsi="Courier New"/>
    </w:rPr>
  </w:style>
  <w:style w:type="paragraph" w:customStyle="1" w:styleId="NoteBullet">
    <w:name w:val="Note Bullet"/>
    <w:basedOn w:val="Note"/>
    <w:rsid w:val="00A65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36F"/>
    <w:rPr>
      <w:b/>
      <w:smallCaps/>
    </w:rPr>
  </w:style>
  <w:style w:type="paragraph" w:customStyle="1" w:styleId="TableListNumber">
    <w:name w:val="Table List Number"/>
    <w:basedOn w:val="ListNumber"/>
    <w:rsid w:val="00A65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36F"/>
    <w:pPr>
      <w:numPr>
        <w:numId w:val="9"/>
      </w:numPr>
    </w:pPr>
  </w:style>
  <w:style w:type="paragraph" w:customStyle="1" w:styleId="ListAlpha2">
    <w:name w:val="List Alpha 2"/>
    <w:basedOn w:val="List2"/>
    <w:rsid w:val="00A6536F"/>
    <w:pPr>
      <w:numPr>
        <w:numId w:val="8"/>
      </w:numPr>
    </w:pPr>
  </w:style>
  <w:style w:type="paragraph" w:styleId="List2">
    <w:name w:val="List 2"/>
    <w:basedOn w:val="BodyText"/>
    <w:rsid w:val="00A65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36F"/>
    <w:pPr>
      <w:numPr>
        <w:numId w:val="4"/>
      </w:numPr>
    </w:pPr>
  </w:style>
  <w:style w:type="paragraph" w:styleId="ListContinue2">
    <w:name w:val="List Continue 2"/>
    <w:basedOn w:val="List2"/>
    <w:rsid w:val="00A6536F"/>
    <w:pPr>
      <w:ind w:firstLine="0"/>
    </w:pPr>
  </w:style>
  <w:style w:type="paragraph" w:styleId="ListContinue3">
    <w:name w:val="List Continue 3"/>
    <w:basedOn w:val="List3"/>
    <w:rsid w:val="00A6536F"/>
    <w:pPr>
      <w:ind w:left="1021" w:firstLine="0"/>
    </w:pPr>
  </w:style>
  <w:style w:type="paragraph" w:styleId="ListContinue4">
    <w:name w:val="List Continue 4"/>
    <w:basedOn w:val="List4"/>
    <w:rsid w:val="00A6536F"/>
    <w:pPr>
      <w:ind w:firstLine="0"/>
    </w:pPr>
  </w:style>
  <w:style w:type="paragraph" w:styleId="ListContinue5">
    <w:name w:val="List Continue 5"/>
    <w:basedOn w:val="List5"/>
    <w:rsid w:val="00A6536F"/>
    <w:pPr>
      <w:ind w:firstLine="0"/>
    </w:pPr>
  </w:style>
  <w:style w:type="paragraph" w:styleId="ListNumber3">
    <w:name w:val="List Number 3"/>
    <w:basedOn w:val="List3"/>
    <w:rsid w:val="00A6536F"/>
    <w:pPr>
      <w:numPr>
        <w:numId w:val="5"/>
      </w:numPr>
    </w:pPr>
  </w:style>
  <w:style w:type="paragraph" w:styleId="ListNumber4">
    <w:name w:val="List Number 4"/>
    <w:basedOn w:val="List4"/>
    <w:rsid w:val="00A6536F"/>
    <w:pPr>
      <w:numPr>
        <w:numId w:val="6"/>
      </w:numPr>
    </w:pPr>
  </w:style>
  <w:style w:type="paragraph" w:styleId="ListNumber5">
    <w:name w:val="List Number 5"/>
    <w:basedOn w:val="List5"/>
    <w:rsid w:val="00A6536F"/>
    <w:pPr>
      <w:numPr>
        <w:numId w:val="7"/>
      </w:numPr>
    </w:pPr>
  </w:style>
  <w:style w:type="paragraph" w:styleId="BlockText">
    <w:name w:val="Block Text"/>
    <w:basedOn w:val="Normal"/>
    <w:rsid w:val="00A65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36F"/>
    <w:rPr>
      <w:sz w:val="16"/>
      <w:vertAlign w:val="superscript"/>
    </w:rPr>
  </w:style>
  <w:style w:type="character" w:customStyle="1" w:styleId="Symbols">
    <w:name w:val="Symbols"/>
    <w:basedOn w:val="DefaultParagraphFont"/>
    <w:rsid w:val="00A6536F"/>
    <w:rPr>
      <w:rFonts w:ascii="Symbol" w:hAnsi="Symbol"/>
    </w:rPr>
  </w:style>
  <w:style w:type="character" w:customStyle="1" w:styleId="MenuOptions">
    <w:name w:val="Menu Options"/>
    <w:basedOn w:val="DefaultParagraphFont"/>
    <w:rsid w:val="00A65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36F"/>
    <w:rPr>
      <w:b/>
    </w:rPr>
  </w:style>
  <w:style w:type="character" w:customStyle="1" w:styleId="Underlined">
    <w:name w:val="Underlined"/>
    <w:basedOn w:val="DefaultParagraphFont"/>
    <w:rsid w:val="00A6536F"/>
    <w:rPr>
      <w:u w:val="single"/>
    </w:rPr>
  </w:style>
  <w:style w:type="paragraph" w:customStyle="1" w:styleId="TableBodyTextRight">
    <w:name w:val="Table Body Text Right"/>
    <w:basedOn w:val="TableBodyText"/>
    <w:rsid w:val="00A65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36F"/>
    <w:rPr>
      <w:sz w:val="18"/>
    </w:rPr>
  </w:style>
  <w:style w:type="paragraph" w:customStyle="1" w:styleId="BodySmallRight">
    <w:name w:val="Body Small Right"/>
    <w:basedOn w:val="BodyTextRight"/>
    <w:rsid w:val="00A6536F"/>
    <w:rPr>
      <w:sz w:val="18"/>
      <w:szCs w:val="18"/>
    </w:rPr>
  </w:style>
  <w:style w:type="paragraph" w:customStyle="1" w:styleId="MarginEdition">
    <w:name w:val="Margin Edition"/>
    <w:basedOn w:val="MarginNote"/>
    <w:rsid w:val="00A65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36F"/>
    <w:rPr>
      <w:sz w:val="2"/>
      <w:szCs w:val="2"/>
    </w:rPr>
  </w:style>
  <w:style w:type="character" w:customStyle="1" w:styleId="Small">
    <w:name w:val="Small"/>
    <w:basedOn w:val="DefaultParagraphFont"/>
    <w:rsid w:val="00A6536F"/>
    <w:rPr>
      <w:sz w:val="16"/>
    </w:rPr>
  </w:style>
  <w:style w:type="paragraph" w:customStyle="1" w:styleId="WideTable">
    <w:name w:val="Wide Table"/>
    <w:basedOn w:val="Normal"/>
    <w:rsid w:val="00A65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36F"/>
  </w:style>
  <w:style w:type="paragraph" w:styleId="Quote">
    <w:name w:val="Quote"/>
    <w:basedOn w:val="Heading1"/>
    <w:link w:val="QuoteChar"/>
    <w:qFormat/>
    <w:rsid w:val="00A65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36F"/>
    <w:pPr>
      <w:pageBreakBefore/>
    </w:pPr>
  </w:style>
  <w:style w:type="paragraph" w:customStyle="1" w:styleId="Border">
    <w:name w:val="Border"/>
    <w:basedOn w:val="Normal"/>
    <w:qFormat/>
    <w:rsid w:val="00A65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36F"/>
    <w:rPr>
      <w:u w:val="single"/>
    </w:rPr>
  </w:style>
  <w:style w:type="character" w:customStyle="1" w:styleId="BoldandItalics">
    <w:name w:val="Bold and Italics"/>
    <w:qFormat/>
    <w:rsid w:val="00A6536F"/>
    <w:rPr>
      <w:b/>
      <w:i/>
      <w:u w:val="none"/>
    </w:rPr>
  </w:style>
  <w:style w:type="paragraph" w:styleId="BalloonText">
    <w:name w:val="Balloon Text"/>
    <w:basedOn w:val="Normal"/>
    <w:link w:val="BalloonTextChar"/>
    <w:rsid w:val="00A65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36F"/>
    <w:pPr>
      <w:spacing w:before="0" w:after="0"/>
    </w:pPr>
  </w:style>
  <w:style w:type="paragraph" w:customStyle="1" w:styleId="BodyTextBold">
    <w:name w:val="Body Text Bold"/>
    <w:basedOn w:val="BodyText"/>
    <w:qFormat/>
    <w:rsid w:val="00A6536F"/>
    <w:rPr>
      <w:b/>
    </w:rPr>
  </w:style>
  <w:style w:type="character" w:styleId="Hyperlink">
    <w:name w:val="Hyperlink"/>
    <w:basedOn w:val="DefaultParagraphFont"/>
    <w:uiPriority w:val="99"/>
    <w:unhideWhenUsed/>
    <w:rsid w:val="00B26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3276</Characters>
  <Application>Microsoft Office Word</Application>
  <DocSecurity>0</DocSecurity>
  <Lines>68</Lines>
  <Paragraphs>39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MEM11009 Handle/move bulk fluids/gases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