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AEA" w:rsidP="00DC4AEA">
      <w:pPr>
        <w:pStyle w:val="Title"/>
      </w:pPr>
      <w:r>
        <w:fldChar w:fldCharType="begin"/>
      </w:r>
      <w:r>
        <w:instrText xml:space="preserve"> TITLE   \* MERGEFORMAT </w:instrText>
      </w:r>
      <w:r>
        <w:fldChar w:fldCharType="separate"/>
      </w:r>
      <w:r>
        <w:t>MEM11005 Pick and process order</w:t>
      </w:r>
      <w:r>
        <w:fldChar w:fldCharType="end"/>
      </w:r>
    </w:p>
    <w:p w:rsidR="00DC4AEA" w:rsidP="00DC4AEA">
      <w:pPr>
        <w:pStyle w:val="Version"/>
        <w:sectPr w:rsidSect="001C72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2ED" w:rsidP="001C72ED">
      <w:pPr>
        <w:pStyle w:val="SuperHeading"/>
      </w:pPr>
      <w:r w:rsidRPr="001C72ED">
        <w:t>MEM11005 Pick and process order</w:t>
      </w:r>
    </w:p>
    <w:p w:rsidR="00000000" w:rsidRPr="001C72ED" w:rsidP="001C72ED">
      <w:pPr>
        <w:pStyle w:val="Heading1"/>
      </w:pPr>
      <w:bookmarkStart w:id="1" w:name="O_950457"/>
      <w:bookmarkEnd w:id="1"/>
      <w:r w:rsidRPr="001C72ED">
        <w:t>Modification History</w:t>
      </w:r>
    </w:p>
    <w:p w:rsidR="00000000" w:rsidRPr="001C72ED" w:rsidP="00DC4AEA">
      <w:pPr>
        <w:pStyle w:val="BodyText"/>
      </w:pPr>
      <w:r w:rsidRPr="001C72ED">
        <w:t xml:space="preserve">Release 1. Supersedes and is equivalent to MEM11005B Pick and process order </w:t>
      </w:r>
    </w:p>
    <w:p w:rsidR="00000000" w:rsidRPr="001C72ED" w:rsidP="001C72ED">
      <w:pPr>
        <w:pStyle w:val="Heading1"/>
      </w:pPr>
      <w:bookmarkStart w:id="2" w:name="O_950465"/>
      <w:bookmarkEnd w:id="2"/>
      <w:r w:rsidRPr="001C72ED">
        <w:t>Application</w:t>
      </w:r>
    </w:p>
    <w:p w:rsidR="00000000" w:rsidRPr="001C72ED" w:rsidP="00DC4AEA">
      <w:pPr>
        <w:pStyle w:val="BodyText"/>
      </w:pPr>
      <w:r w:rsidRPr="001C72ED">
        <w:t>This unit of competency defines the skills and knowledge required to receive an order, pick an order, check against documentation</w:t>
      </w:r>
      <w:r w:rsidRPr="001C72ED">
        <w:t xml:space="preserve"> and place in the correct area and complete enterprise documentation.</w:t>
      </w:r>
    </w:p>
    <w:p w:rsidR="00000000" w:rsidRPr="001C72ED" w:rsidP="00DC4AEA">
      <w:pPr>
        <w:pStyle w:val="BodyText"/>
      </w:pPr>
      <w:r w:rsidRPr="001C72ED">
        <w:t>This unit applies where the employee needs to exercise knowledge of the enterprise product range and the procedures, practices and standards for the storage and handling of a product.</w:t>
      </w:r>
    </w:p>
    <w:p w:rsidR="00000000" w:rsidRPr="001C72ED" w:rsidP="00DC4AEA">
      <w:pPr>
        <w:pStyle w:val="BodyText"/>
      </w:pPr>
      <w:r w:rsidRPr="001C72ED">
        <w:t>Simple handling of goods not requiring the ability to identify different products or to interact with inventory records and stock location systems is covered by unit MEM11010 Operate mobile load shifting equipment or unit MEM11011 Undertake manual handling</w:t>
      </w:r>
      <w:r w:rsidRPr="001C72ED">
        <w:t>.</w:t>
      </w:r>
    </w:p>
    <w:p w:rsidR="00000000" w:rsidRPr="001C72ED" w:rsidP="00DC4AEA">
      <w:pPr>
        <w:pStyle w:val="BodyText"/>
      </w:pPr>
      <w:r w:rsidRPr="001C72ED">
        <w:t>If materials handling equipment skills are required unit MEM11010 Operate mobile load shifting equipment should also be selected.</w:t>
      </w:r>
    </w:p>
    <w:p w:rsidR="00000000" w:rsidRPr="001C72ED" w:rsidP="00DC4AEA">
      <w:pPr>
        <w:pStyle w:val="BodyText"/>
      </w:pPr>
      <w:r w:rsidRPr="001C72ED">
        <w:t>Where materials handling equipment requires a licence, appropriate units should also be selected.</w:t>
      </w:r>
    </w:p>
    <w:p w:rsidR="00000000" w:rsidRPr="001C72ED" w:rsidP="00DC4AEA">
      <w:pPr>
        <w:pStyle w:val="BodyText"/>
      </w:pPr>
      <w:r w:rsidRPr="001C72ED">
        <w:t>No licensing, legislati</w:t>
      </w:r>
      <w:r w:rsidRPr="001C72ED">
        <w:t>ve or certification requirements apply to this unit at the time of publication.</w:t>
      </w:r>
    </w:p>
    <w:p w:rsidR="00000000" w:rsidRPr="001C72ED" w:rsidP="00DC4AEA">
      <w:pPr>
        <w:pStyle w:val="BodyText"/>
      </w:pPr>
      <w:r w:rsidRPr="001C72ED">
        <w:t>Where the storage and handling of dangerous goods is a component of the application of this unit, users should check for relevant regulations and legislation with the appropri</w:t>
      </w:r>
      <w:r w:rsidRPr="001C72ED">
        <w:t>ate authorities.</w:t>
      </w:r>
    </w:p>
    <w:p w:rsidR="00000000" w:rsidRPr="001C72ED" w:rsidP="001C72ED">
      <w:pPr>
        <w:pStyle w:val="BodyText"/>
      </w:pPr>
      <w:r w:rsidRPr="001C72ED">
        <w:rPr>
          <w:rStyle w:val="SpecialBold"/>
        </w:rPr>
        <w:t>Band</w:t>
      </w:r>
      <w:r w:rsidRPr="001C72ED">
        <w:t>:</w:t>
      </w:r>
      <w:r w:rsidRPr="001C72ED">
        <w:tab/>
      </w:r>
      <w:r w:rsidRPr="001C72ED">
        <w:rPr>
          <w:rStyle w:val="SpecialBold"/>
        </w:rPr>
        <w:t>A</w:t>
      </w:r>
    </w:p>
    <w:p w:rsidR="00000000" w:rsidRPr="001C72ED" w:rsidP="001C72ED">
      <w:pPr>
        <w:pStyle w:val="BodyText"/>
      </w:pPr>
      <w:r w:rsidRPr="001C72ED">
        <w:rPr>
          <w:rStyle w:val="SpecialBold"/>
        </w:rPr>
        <w:t>Unit Weight</w:t>
      </w:r>
      <w:r w:rsidRPr="001C72ED">
        <w:t>:</w:t>
      </w:r>
      <w:r w:rsidRPr="001C72ED">
        <w:tab/>
      </w:r>
      <w:r w:rsidRPr="001C72ED">
        <w:rPr>
          <w:rStyle w:val="SpecialBold"/>
        </w:rPr>
        <w:t>4</w:t>
      </w:r>
    </w:p>
    <w:p w:rsidR="00000000" w:rsidRPr="001C72ED" w:rsidP="001C72ED">
      <w:pPr>
        <w:pStyle w:val="AllowPageBreak"/>
      </w:pPr>
    </w:p>
    <w:p w:rsidR="00000000" w:rsidRPr="001C72ED" w:rsidP="001C72ED">
      <w:pPr>
        <w:pStyle w:val="Heading1"/>
      </w:pPr>
      <w:bookmarkStart w:id="3" w:name="O_950464"/>
      <w:bookmarkEnd w:id="3"/>
      <w:r w:rsidRPr="001C72ED">
        <w:t>Pre-requisite Unit</w:t>
      </w:r>
    </w:p>
    <w:tbl>
      <w:tblPr>
        <w:tblW w:w="0" w:type="auto"/>
        <w:tblLayout w:type="fixed"/>
        <w:tblCellMar>
          <w:left w:w="62" w:type="dxa"/>
          <w:right w:w="62" w:type="dxa"/>
        </w:tblCellMar>
        <w:tblLook w:val="0000"/>
      </w:tblPr>
      <w:tblGrid>
        <w:gridCol w:w="2186"/>
        <w:gridCol w:w="6886"/>
      </w:tblGrid>
      <w:tr w:rsidTr="001C72E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MEM11011</w:t>
            </w:r>
          </w:p>
        </w:tc>
        <w:tc>
          <w:tcPr>
            <w:tcW w:w="6886"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Undertake manual handling</w:t>
            </w:r>
          </w:p>
        </w:tc>
      </w:tr>
      <w:tr w:rsidTr="001C72E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MEM13015</w:t>
            </w:r>
          </w:p>
        </w:tc>
        <w:tc>
          <w:tcPr>
            <w:tcW w:w="6886"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Work safely and effectively in manufacturing and engineering</w:t>
            </w:r>
          </w:p>
        </w:tc>
      </w:tr>
      <w:tr w:rsidTr="001C72E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MEM16006</w:t>
            </w:r>
          </w:p>
        </w:tc>
        <w:tc>
          <w:tcPr>
            <w:tcW w:w="6886" w:type="dxa"/>
            <w:tcBorders>
              <w:top w:val="nil"/>
              <w:left w:val="nil"/>
              <w:bottom w:val="nil"/>
              <w:right w:val="nil"/>
            </w:tcBorders>
            <w:tcMar>
              <w:top w:w="0" w:type="dxa"/>
              <w:left w:w="62" w:type="dxa"/>
              <w:bottom w:w="0" w:type="dxa"/>
              <w:right w:w="62" w:type="dxa"/>
            </w:tcMar>
          </w:tcPr>
          <w:p w:rsidR="00000000" w:rsidRPr="001C72ED" w:rsidP="001C72ED">
            <w:pPr>
              <w:pStyle w:val="BodyText"/>
            </w:pPr>
            <w:r w:rsidRPr="001C72ED">
              <w:t>Organise and communicate information</w:t>
            </w:r>
          </w:p>
        </w:tc>
      </w:tr>
    </w:tbl>
    <w:p w:rsidR="00000000" w:rsidRPr="001C72ED" w:rsidP="001C72ED">
      <w:pPr>
        <w:pStyle w:val="BodyText"/>
      </w:pPr>
    </w:p>
    <w:p w:rsidR="00000000" w:rsidRPr="001C72ED" w:rsidP="001C72ED">
      <w:pPr>
        <w:pStyle w:val="AllowPageBreak"/>
      </w:pPr>
    </w:p>
    <w:p w:rsidR="00000000" w:rsidRPr="001C72ED" w:rsidP="001C72ED">
      <w:pPr>
        <w:pStyle w:val="Heading1"/>
      </w:pPr>
      <w:bookmarkStart w:id="4" w:name="O_950463"/>
      <w:bookmarkEnd w:id="4"/>
      <w:r w:rsidRPr="001C72ED">
        <w:t>Competency Field</w:t>
      </w:r>
    </w:p>
    <w:p w:rsidR="00000000" w:rsidRPr="001C72ED" w:rsidP="00DC4AEA">
      <w:pPr>
        <w:pStyle w:val="BodyText"/>
      </w:pPr>
      <w:r w:rsidRPr="001C72ED">
        <w:t>Materials handling</w:t>
      </w:r>
    </w:p>
    <w:p w:rsidR="00000000" w:rsidRPr="001C72ED" w:rsidP="001C72ED">
      <w:pPr>
        <w:pStyle w:val="Heading1"/>
      </w:pPr>
      <w:bookmarkStart w:id="5" w:name="O_950461"/>
      <w:bookmarkEnd w:id="5"/>
      <w:r w:rsidRPr="001C72ED">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1C72ED">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Performance criteria describe the performance needed to demonstrate achievement of the element.</w:t>
            </w:r>
          </w:p>
        </w:tc>
      </w:tr>
      <w:tr w:rsidTr="001C72E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C72ED" w:rsidP="001C72ED">
            <w:pPr>
              <w:pStyle w:val="BodyText"/>
            </w:pPr>
            <w:r w:rsidRPr="001C72ED">
              <w:t>1</w:t>
            </w:r>
          </w:p>
        </w:tc>
        <w:tc>
          <w:tcPr>
            <w:tcW w:w="1986" w:type="dxa"/>
            <w:vMerge w:val="restart"/>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1.1</w:t>
            </w:r>
          </w:p>
        </w:tc>
        <w:tc>
          <w:tcPr>
            <w:tcW w:w="5678"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Follow standard operating procedures (SOPs)</w:t>
            </w:r>
          </w:p>
        </w:tc>
      </w:tr>
      <w:tr w:rsidTr="001C72E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1.2</w:t>
            </w:r>
          </w:p>
        </w:tc>
        <w:tc>
          <w:tcPr>
            <w:tcW w:w="5678"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Comply with work health and safety (WHS) requirements at all times</w:t>
            </w:r>
          </w:p>
        </w:tc>
      </w:tr>
      <w:tr w:rsidTr="001C72E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1.3</w:t>
            </w:r>
          </w:p>
        </w:tc>
        <w:tc>
          <w:tcPr>
            <w:tcW w:w="5678"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Use appropriate personal protective equipment (PPE) in accordance with SOPs</w:t>
            </w:r>
          </w:p>
        </w:tc>
      </w:tr>
      <w:tr w:rsidTr="001C72E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1.4</w:t>
            </w:r>
          </w:p>
        </w:tc>
        <w:tc>
          <w:tcPr>
            <w:tcW w:w="5678"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Identify job requirements f</w:t>
            </w:r>
            <w:r w:rsidRPr="001C72ED">
              <w:t>rom specifications, job sheets or work instructions</w:t>
            </w:r>
          </w:p>
        </w:tc>
      </w:tr>
      <w:tr w:rsidTr="001C72E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C72ED">
            <w:pPr>
              <w:pStyle w:val="BodyText"/>
              <w:rPr>
                <w:lang w:val="en-NZ"/>
              </w:rPr>
            </w:pPr>
          </w:p>
        </w:tc>
      </w:tr>
      <w:tr w:rsidTr="001C72E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C72ED" w:rsidP="001C72ED">
            <w:pPr>
              <w:pStyle w:val="BodyText"/>
            </w:pPr>
            <w:r w:rsidRPr="001C72ED">
              <w:t>2</w:t>
            </w:r>
          </w:p>
        </w:tc>
        <w:tc>
          <w:tcPr>
            <w:tcW w:w="1986" w:type="dxa"/>
            <w:vMerge w:val="restart"/>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rPr>
                <w:rStyle w:val="SpecialBold"/>
              </w:rPr>
              <w:t>Receive order</w:t>
            </w:r>
          </w:p>
        </w:tc>
        <w:tc>
          <w:tcPr>
            <w:tcW w:w="779"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2.1</w:t>
            </w:r>
          </w:p>
        </w:tc>
        <w:tc>
          <w:tcPr>
            <w:tcW w:w="5678"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Receive orders and check for errors</w:t>
            </w:r>
          </w:p>
        </w:tc>
      </w:tr>
      <w:tr w:rsidTr="001C72E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2.2</w:t>
            </w:r>
          </w:p>
        </w:tc>
        <w:tc>
          <w:tcPr>
            <w:tcW w:w="5678"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Identify product to be picked</w:t>
            </w:r>
          </w:p>
        </w:tc>
      </w:tr>
      <w:tr w:rsidTr="001C72E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C72ED">
            <w:pPr>
              <w:pStyle w:val="BodyText"/>
              <w:rPr>
                <w:lang w:val="en-NZ"/>
              </w:rPr>
            </w:pPr>
          </w:p>
        </w:tc>
      </w:tr>
      <w:tr w:rsidTr="001C72E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C72ED" w:rsidP="001C72ED">
            <w:pPr>
              <w:pStyle w:val="BodyText"/>
            </w:pPr>
            <w:r w:rsidRPr="001C72ED">
              <w:t>3</w:t>
            </w:r>
          </w:p>
        </w:tc>
        <w:tc>
          <w:tcPr>
            <w:tcW w:w="1986" w:type="dxa"/>
            <w:vMerge w:val="restart"/>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rPr>
                <w:rStyle w:val="SpecialBold"/>
              </w:rPr>
              <w:t>Pick order</w:t>
            </w:r>
          </w:p>
        </w:tc>
        <w:tc>
          <w:tcPr>
            <w:tcW w:w="779"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3.1</w:t>
            </w:r>
          </w:p>
        </w:tc>
        <w:tc>
          <w:tcPr>
            <w:tcW w:w="5678"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Select and use materials handling equipment appropriate to products, as required</w:t>
            </w:r>
          </w:p>
        </w:tc>
      </w:tr>
      <w:tr w:rsidTr="001C72E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3.2</w:t>
            </w:r>
          </w:p>
        </w:tc>
        <w:tc>
          <w:tcPr>
            <w:tcW w:w="5678"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Locate products to be picked according to SOPs</w:t>
            </w:r>
          </w:p>
        </w:tc>
      </w:tr>
      <w:tr w:rsidTr="001C72E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3.3</w:t>
            </w:r>
          </w:p>
        </w:tc>
        <w:tc>
          <w:tcPr>
            <w:tcW w:w="5678"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Pick order, either by manual handling or using materials handling equipment</w:t>
            </w:r>
          </w:p>
        </w:tc>
      </w:tr>
      <w:tr w:rsidTr="001C72E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3.4</w:t>
            </w:r>
          </w:p>
        </w:tc>
        <w:tc>
          <w:tcPr>
            <w:tcW w:w="5678"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Handle product according to storage and handling requirements identified in operating procedures/regulations</w:t>
            </w:r>
          </w:p>
        </w:tc>
      </w:tr>
      <w:tr w:rsidTr="001C72E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C72ED">
            <w:pPr>
              <w:pStyle w:val="BodyText"/>
              <w:rPr>
                <w:lang w:val="en-NZ"/>
              </w:rPr>
            </w:pPr>
          </w:p>
        </w:tc>
      </w:tr>
      <w:tr w:rsidTr="001C72E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C72ED" w:rsidP="001C72ED">
            <w:pPr>
              <w:pStyle w:val="BodyText"/>
            </w:pPr>
            <w:r w:rsidRPr="001C72ED">
              <w:t>4</w:t>
            </w:r>
          </w:p>
        </w:tc>
        <w:tc>
          <w:tcPr>
            <w:tcW w:w="1986" w:type="dxa"/>
            <w:vMerge w:val="restart"/>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rPr>
                <w:rStyle w:val="SpecialBold"/>
              </w:rPr>
              <w:t>Finalise order picking</w:t>
            </w:r>
          </w:p>
        </w:tc>
        <w:tc>
          <w:tcPr>
            <w:tcW w:w="779"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4.1</w:t>
            </w:r>
          </w:p>
        </w:tc>
        <w:tc>
          <w:tcPr>
            <w:tcW w:w="5678"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Check picked order against documentation</w:t>
            </w:r>
          </w:p>
        </w:tc>
      </w:tr>
      <w:tr w:rsidTr="001C72E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4.2</w:t>
            </w:r>
          </w:p>
        </w:tc>
        <w:tc>
          <w:tcPr>
            <w:tcW w:w="5678"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Place picked order in correct area for consolidation</w:t>
            </w:r>
          </w:p>
        </w:tc>
      </w:tr>
      <w:tr w:rsidTr="001C72E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4.3</w:t>
            </w:r>
          </w:p>
        </w:tc>
        <w:tc>
          <w:tcPr>
            <w:tcW w:w="5678" w:type="dxa"/>
            <w:tcBorders>
              <w:top w:val="nil"/>
              <w:left w:val="nil"/>
              <w:bottom w:val="nil"/>
              <w:right w:val="nil"/>
            </w:tcBorders>
            <w:tcMar>
              <w:top w:w="0" w:type="dxa"/>
              <w:left w:w="62" w:type="dxa"/>
              <w:bottom w:w="0" w:type="dxa"/>
              <w:right w:w="62" w:type="dxa"/>
            </w:tcMar>
          </w:tcPr>
          <w:p w:rsidR="00000000" w:rsidRPr="001C72ED" w:rsidP="001C72ED">
            <w:pPr>
              <w:pStyle w:val="BodyText"/>
            </w:pPr>
            <w:r w:rsidRPr="001C72ED">
              <w:t>Complete enterprise documentation</w:t>
            </w:r>
          </w:p>
        </w:tc>
      </w:tr>
    </w:tbl>
    <w:p w:rsidR="00000000" w:rsidRPr="001C72ED" w:rsidP="001C72ED">
      <w:pPr>
        <w:pStyle w:val="BodyText"/>
      </w:pPr>
    </w:p>
    <w:p w:rsidR="00000000" w:rsidRPr="001C72ED" w:rsidP="001C72ED">
      <w:pPr>
        <w:pStyle w:val="AllowPageBreak"/>
      </w:pPr>
    </w:p>
    <w:p w:rsidR="00000000" w:rsidRPr="001C72ED" w:rsidP="001C72ED">
      <w:pPr>
        <w:pStyle w:val="Heading1"/>
      </w:pPr>
      <w:bookmarkStart w:id="6" w:name="O_950460"/>
      <w:bookmarkEnd w:id="6"/>
      <w:r w:rsidRPr="001C72ED">
        <w:t>Foundation Skills</w:t>
      </w:r>
    </w:p>
    <w:p w:rsidR="00000000" w:rsidRPr="001C72ED" w:rsidP="00DC4AEA">
      <w:pPr>
        <w:pStyle w:val="BodyText"/>
      </w:pPr>
      <w:r w:rsidRPr="001C72ED">
        <w:t xml:space="preserve">This section describes those required skills (reading, writing, oral communication and numeracy) that are essential to workplace performance in this unit of competency.  </w:t>
      </w:r>
    </w:p>
    <w:p w:rsidR="00000000" w:rsidRPr="001C72ED" w:rsidP="00DC4AEA">
      <w:pPr>
        <w:pStyle w:val="BodyText"/>
      </w:pPr>
      <w:r w:rsidRPr="001C72ED">
        <w:t xml:space="preserve">Foundation skills essential to performance are explicit in the performance criteria </w:t>
      </w:r>
      <w:r w:rsidRPr="001C72ED">
        <w:t>of this unit of competency.</w:t>
      </w:r>
    </w:p>
    <w:p w:rsidR="00000000" w:rsidRPr="001C72ED" w:rsidP="001C72ED">
      <w:pPr>
        <w:pStyle w:val="Heading1"/>
      </w:pPr>
      <w:bookmarkStart w:id="7" w:name="O_950459"/>
      <w:bookmarkEnd w:id="7"/>
      <w:r w:rsidRPr="001C72ED">
        <w:t>Range of Conditions</w:t>
      </w:r>
    </w:p>
    <w:tbl>
      <w:tblPr>
        <w:tblW w:w="9288" w:type="dxa"/>
        <w:tblLayout w:type="fixed"/>
        <w:tblCellMar>
          <w:left w:w="62" w:type="dxa"/>
          <w:right w:w="62" w:type="dxa"/>
        </w:tblCellMar>
        <w:tblLook w:val="0000"/>
      </w:tblPr>
      <w:tblGrid>
        <w:gridCol w:w="2759"/>
        <w:gridCol w:w="6529"/>
      </w:tblGrid>
      <w:tr w:rsidTr="001C72ED">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t>This field allows for different work environments and conditions that may affect performance. Essential operating conditions that may be present (depending on the work situation, needs of the</w:t>
            </w:r>
            <w:r w:rsidRPr="001C72ED">
              <w:t xml:space="preserve"> candidate, accessibility of the item, and local industry and regional contexts) are included.</w:t>
            </w:r>
          </w:p>
        </w:tc>
      </w:tr>
      <w:tr w:rsidTr="001C72ED">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rPr>
                <w:rStyle w:val="SpecialBold"/>
              </w:rPr>
              <w:t>Materials handling equipment includes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1C72ED" w:rsidP="001C72ED">
            <w:pPr>
              <w:pStyle w:val="ListBullet"/>
            </w:pPr>
            <w:r w:rsidRPr="001C72ED">
              <w:t>forklift</w:t>
            </w:r>
          </w:p>
          <w:p w:rsidR="00000000" w:rsidRPr="001C72ED" w:rsidP="001C72ED">
            <w:pPr>
              <w:pStyle w:val="ListBullet"/>
            </w:pPr>
            <w:r w:rsidRPr="001C72ED">
              <w:t>order picker</w:t>
            </w:r>
          </w:p>
          <w:p w:rsidR="00000000" w:rsidRPr="001C72ED" w:rsidP="001C72ED">
            <w:pPr>
              <w:pStyle w:val="ListBullet"/>
            </w:pPr>
            <w:r w:rsidRPr="001C72ED">
              <w:t>WAVE truck</w:t>
            </w:r>
          </w:p>
          <w:p w:rsidR="00000000" w:rsidRPr="001C72ED" w:rsidP="001C72ED">
            <w:pPr>
              <w:pStyle w:val="ListBullet"/>
            </w:pPr>
            <w:r w:rsidRPr="001C72ED">
              <w:t>pallet trucks</w:t>
            </w:r>
          </w:p>
          <w:p w:rsidR="00000000" w:rsidRPr="001C72ED" w:rsidP="001C72ED">
            <w:pPr>
              <w:pStyle w:val="ListBullet"/>
            </w:pPr>
            <w:r w:rsidRPr="001C72ED">
              <w:t>wheelbarrow</w:t>
            </w:r>
          </w:p>
          <w:p w:rsidR="00000000" w:rsidRPr="001C72ED" w:rsidP="001C72ED">
            <w:pPr>
              <w:pStyle w:val="ListBullet"/>
            </w:pPr>
            <w:r w:rsidRPr="001C72ED">
              <w:t>trolleys</w:t>
            </w:r>
          </w:p>
          <w:p w:rsidR="00000000" w:rsidRPr="001C72ED" w:rsidP="001C72ED">
            <w:pPr>
              <w:pStyle w:val="ListBullet"/>
            </w:pPr>
            <w:r w:rsidRPr="001C72ED">
              <w:t>sack truck</w:t>
            </w:r>
          </w:p>
          <w:p w:rsidR="00000000" w:rsidP="001C72ED">
            <w:pPr>
              <w:pStyle w:val="BodyText"/>
              <w:rPr>
                <w:lang w:val="en-NZ"/>
              </w:rPr>
            </w:pPr>
          </w:p>
        </w:tc>
      </w:tr>
      <w:tr w:rsidTr="001C72ED">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rPr>
                <w:rStyle w:val="SpecialBold"/>
              </w:rPr>
              <w:t>Storage and handling requirements include the following:</w:t>
            </w:r>
          </w:p>
        </w:tc>
        <w:tc>
          <w:tcPr>
            <w:tcW w:w="6529" w:type="dxa"/>
            <w:tcBorders>
              <w:top w:val="nil"/>
              <w:left w:val="nil"/>
              <w:bottom w:val="nil"/>
              <w:right w:val="nil"/>
            </w:tcBorders>
            <w:tcMar>
              <w:top w:w="0" w:type="dxa"/>
              <w:left w:w="62" w:type="dxa"/>
              <w:bottom w:w="0" w:type="dxa"/>
              <w:right w:w="62" w:type="dxa"/>
            </w:tcMar>
          </w:tcPr>
          <w:p w:rsidR="00000000" w:rsidRPr="001C72ED" w:rsidP="001C72ED">
            <w:pPr>
              <w:pStyle w:val="ListBullet"/>
            </w:pPr>
            <w:r w:rsidRPr="001C72ED">
              <w:t>relevant legislative requirements e.g. dangerous goods and storage of poisons acts and regulations</w:t>
            </w:r>
          </w:p>
          <w:p w:rsidR="00000000" w:rsidP="001C72ED">
            <w:pPr>
              <w:pStyle w:val="BodyText"/>
              <w:rPr>
                <w:lang w:val="en-NZ"/>
              </w:rPr>
            </w:pPr>
          </w:p>
        </w:tc>
      </w:tr>
      <w:tr w:rsidTr="001C72ED">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1C72ED">
            <w:pPr>
              <w:pStyle w:val="BodyText"/>
              <w:rPr>
                <w:lang w:val="en-NZ"/>
              </w:rPr>
            </w:pPr>
            <w:r w:rsidRPr="001C72ED">
              <w:rPr>
                <w:rStyle w:val="SpecialBold"/>
              </w:rPr>
              <w:t>Enterprise documentation includes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1C72ED" w:rsidP="001C72ED">
            <w:pPr>
              <w:pStyle w:val="ListBullet"/>
            </w:pPr>
            <w:r w:rsidRPr="001C72ED">
              <w:t>invoices</w:t>
            </w:r>
          </w:p>
          <w:p w:rsidR="00000000" w:rsidRPr="001C72ED" w:rsidP="001C72ED">
            <w:pPr>
              <w:pStyle w:val="ListBullet"/>
            </w:pPr>
            <w:r w:rsidRPr="001C72ED">
              <w:t>orders</w:t>
            </w:r>
          </w:p>
          <w:p w:rsidR="00000000" w:rsidRPr="001C72ED" w:rsidP="001C72ED">
            <w:pPr>
              <w:pStyle w:val="ListBullet"/>
            </w:pPr>
            <w:r w:rsidRPr="001C72ED">
              <w:t>returns</w:t>
            </w:r>
          </w:p>
          <w:p w:rsidR="00000000" w:rsidRPr="001C72ED" w:rsidP="001C72ED">
            <w:pPr>
              <w:pStyle w:val="ListBullet"/>
            </w:pPr>
            <w:r w:rsidRPr="001C72ED">
              <w:t>reco</w:t>
            </w:r>
            <w:r w:rsidRPr="001C72ED">
              <w:t>rding cards</w:t>
            </w:r>
          </w:p>
          <w:p w:rsidR="00000000" w:rsidRPr="001C72ED" w:rsidP="001C72ED">
            <w:pPr>
              <w:pStyle w:val="ListBullet"/>
            </w:pPr>
            <w:r w:rsidRPr="001C72ED">
              <w:t>inventory documentation</w:t>
            </w:r>
          </w:p>
          <w:p w:rsidR="00000000" w:rsidRPr="001C72ED" w:rsidP="001C72ED">
            <w:pPr>
              <w:pStyle w:val="ListBullet"/>
            </w:pPr>
            <w:r w:rsidRPr="001C72ED">
              <w:t>maintenance inventories</w:t>
            </w:r>
          </w:p>
          <w:p w:rsidR="00000000" w:rsidRPr="001C72ED" w:rsidP="001C72ED">
            <w:pPr>
              <w:pStyle w:val="ListBullet"/>
            </w:pPr>
            <w:r w:rsidRPr="001C72ED">
              <w:t>documents (hardcopy or electronic) required by legislation</w:t>
            </w:r>
          </w:p>
          <w:p w:rsidR="00000000" w:rsidRPr="001C72ED" w:rsidP="001C72ED">
            <w:pPr>
              <w:pStyle w:val="BodyText"/>
            </w:pPr>
          </w:p>
        </w:tc>
      </w:tr>
    </w:tbl>
    <w:p w:rsidR="00000000" w:rsidRPr="001C72ED" w:rsidP="001C72ED">
      <w:pPr>
        <w:pStyle w:val="BodyText"/>
      </w:pPr>
    </w:p>
    <w:p w:rsidR="00000000" w:rsidRPr="001C72ED" w:rsidP="001C72ED">
      <w:pPr>
        <w:pStyle w:val="AllowPageBreak"/>
      </w:pPr>
    </w:p>
    <w:p w:rsidR="00000000" w:rsidRPr="001C72ED" w:rsidP="001C72ED">
      <w:pPr>
        <w:pStyle w:val="Heading1"/>
      </w:pPr>
      <w:bookmarkStart w:id="8" w:name="O_950458"/>
      <w:bookmarkEnd w:id="8"/>
      <w:r w:rsidRPr="001C72ED">
        <w:t>Unit Mapping Information</w:t>
      </w:r>
    </w:p>
    <w:p w:rsidR="00000000" w:rsidRPr="001C72ED" w:rsidP="00DC4AEA">
      <w:pPr>
        <w:pStyle w:val="BodyText"/>
      </w:pPr>
      <w:r w:rsidRPr="001C72ED">
        <w:t xml:space="preserve">Release 1. Supersedes and is equivalent to MEM11005B Pick and process order </w:t>
      </w:r>
    </w:p>
    <w:p w:rsidR="00000000" w:rsidRPr="001C72ED" w:rsidP="001C72ED">
      <w:pPr>
        <w:pStyle w:val="Heading1"/>
      </w:pPr>
      <w:bookmarkStart w:id="9" w:name="O_950451"/>
      <w:bookmarkEnd w:id="9"/>
      <w:r w:rsidRPr="001C72ED">
        <w:t>Links</w:t>
      </w:r>
    </w:p>
    <w:p w:rsidR="00000000" w:rsidRPr="001C72ED" w:rsidP="00DC4AEA">
      <w:pPr>
        <w:pStyle w:val="BodyText"/>
      </w:pPr>
      <w:r w:rsidRPr="001C72E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F35F8">
        <w:rPr>
          <w:rStyle w:val="Hyperlink"/>
        </w:rPr>
        <w:t>https://vetnet.gov.au/Pages/TrainingDocs.aspx?q=b7050d37-5fd0-4740-8f7d-3b7a49c10bb2</w:t>
      </w:r>
      <w:r>
        <w:fldChar w:fldCharType="end"/>
      </w:r>
    </w:p>
    <w:p w:rsidR="00000000" w:rsidRPr="001C72ED" w:rsidP="001C72ED"/>
    <w:sectPr w:rsidSect="001C72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2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2ED" w:rsidRPr="00DC4AEA" w:rsidP="00DC4A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2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AEA" w:rsidP="001C72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4AEA" w:rsidP="001C72E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4AEA" w:rsidP="001C72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2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A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72ED" w:rsidRPr="00DC4AEA" w:rsidP="00DC4A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2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AEA" w:rsidRPr="002D2AF8" w:rsidP="001C72ED">
    <w:pPr>
      <w:pStyle w:val="Header"/>
      <w:framePr w:wrap="around"/>
    </w:pPr>
    <w:r>
      <w:fldChar w:fldCharType="begin"/>
    </w:r>
    <w:r>
      <w:instrText xml:space="preserve"> TITLE   \* MERGEFORMAT </w:instrText>
    </w:r>
    <w:r>
      <w:fldChar w:fldCharType="separate"/>
    </w:r>
    <w:r>
      <w:t>MEM11005 Pick and process order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C4AEA" w:rsidP="001C72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721D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8697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2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72ED"/>
    <w:pPr>
      <w:spacing w:before="360" w:after="60"/>
      <w:outlineLvl w:val="0"/>
    </w:pPr>
    <w:rPr>
      <w:sz w:val="32"/>
    </w:rPr>
  </w:style>
  <w:style w:type="paragraph" w:styleId="Heading2">
    <w:name w:val="heading 2"/>
    <w:basedOn w:val="HeadingBase"/>
    <w:next w:val="BodyText"/>
    <w:link w:val="Heading2Char"/>
    <w:qFormat/>
    <w:rsid w:val="001C72ED"/>
    <w:pPr>
      <w:keepLines/>
      <w:spacing w:before="240" w:after="120"/>
      <w:outlineLvl w:val="1"/>
    </w:pPr>
    <w:rPr>
      <w:sz w:val="28"/>
      <w:szCs w:val="40"/>
    </w:rPr>
  </w:style>
  <w:style w:type="paragraph" w:styleId="Heading3">
    <w:name w:val="heading 3"/>
    <w:basedOn w:val="HeadingBase"/>
    <w:next w:val="BodyText"/>
    <w:link w:val="Heading3Char"/>
    <w:qFormat/>
    <w:rsid w:val="001C72ED"/>
    <w:pPr>
      <w:spacing w:before="180" w:after="120"/>
      <w:outlineLvl w:val="2"/>
    </w:pPr>
    <w:rPr>
      <w:spacing w:val="-10"/>
      <w:kern w:val="32"/>
    </w:rPr>
  </w:style>
  <w:style w:type="paragraph" w:styleId="Heading4">
    <w:name w:val="heading 4"/>
    <w:basedOn w:val="HeadingBase"/>
    <w:next w:val="BodyText"/>
    <w:link w:val="Heading4Char"/>
    <w:qFormat/>
    <w:rsid w:val="001C72ED"/>
    <w:pPr>
      <w:spacing w:before="160" w:after="120"/>
      <w:outlineLvl w:val="3"/>
    </w:pPr>
    <w:rPr>
      <w:sz w:val="22"/>
    </w:rPr>
  </w:style>
  <w:style w:type="paragraph" w:styleId="Heading5">
    <w:name w:val="heading 5"/>
    <w:basedOn w:val="HeadingBase"/>
    <w:next w:val="Normal"/>
    <w:link w:val="Heading5Char"/>
    <w:qFormat/>
    <w:rsid w:val="001C72ED"/>
    <w:pPr>
      <w:spacing w:before="80"/>
      <w:outlineLvl w:val="4"/>
    </w:pPr>
    <w:rPr>
      <w:color w:val="918585"/>
      <w:sz w:val="20"/>
    </w:rPr>
  </w:style>
  <w:style w:type="paragraph" w:styleId="Heading6">
    <w:name w:val="heading 6"/>
    <w:basedOn w:val="HeadingBase"/>
    <w:next w:val="Normal"/>
    <w:link w:val="Heading6Char"/>
    <w:qFormat/>
    <w:rsid w:val="001C72ED"/>
    <w:pPr>
      <w:spacing w:before="60"/>
      <w:outlineLvl w:val="5"/>
    </w:pPr>
    <w:rPr>
      <w:color w:val="918585"/>
      <w:sz w:val="20"/>
    </w:rPr>
  </w:style>
  <w:style w:type="paragraph" w:styleId="Heading7">
    <w:name w:val="heading 7"/>
    <w:basedOn w:val="Normal"/>
    <w:next w:val="Normal"/>
    <w:link w:val="Heading7Char"/>
    <w:qFormat/>
    <w:rsid w:val="001C72ED"/>
    <w:pPr>
      <w:ind w:left="720"/>
      <w:outlineLvl w:val="6"/>
    </w:pPr>
    <w:rPr>
      <w:i/>
    </w:rPr>
  </w:style>
  <w:style w:type="paragraph" w:styleId="Heading8">
    <w:name w:val="heading 8"/>
    <w:basedOn w:val="Normal"/>
    <w:next w:val="Normal"/>
    <w:link w:val="Heading8Char"/>
    <w:qFormat/>
    <w:rsid w:val="001C72ED"/>
    <w:pPr>
      <w:ind w:left="720"/>
      <w:outlineLvl w:val="7"/>
    </w:pPr>
    <w:rPr>
      <w:i/>
    </w:rPr>
  </w:style>
  <w:style w:type="paragraph" w:styleId="Heading9">
    <w:name w:val="heading 9"/>
    <w:basedOn w:val="Normal"/>
    <w:next w:val="Normal"/>
    <w:link w:val="Heading9Char"/>
    <w:qFormat/>
    <w:rsid w:val="001C72ED"/>
    <w:pPr>
      <w:ind w:left="720"/>
      <w:outlineLvl w:val="8"/>
    </w:pPr>
    <w:rPr>
      <w:i/>
    </w:rPr>
  </w:style>
  <w:style w:type="character" w:default="1" w:styleId="DefaultParagraphFont">
    <w:name w:val="Default Paragraph Font"/>
    <w:uiPriority w:val="1"/>
    <w:unhideWhenUsed/>
    <w:rsid w:val="001C72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2ED"/>
  </w:style>
  <w:style w:type="character" w:customStyle="1" w:styleId="Heading1Char">
    <w:name w:val="Heading 1 Char"/>
    <w:basedOn w:val="DefaultParagraphFont"/>
    <w:link w:val="Heading1"/>
    <w:rsid w:val="001C72ED"/>
    <w:rPr>
      <w:rFonts w:ascii="Times New Roman" w:eastAsia="Times New Roman" w:hAnsi="Times New Roman" w:cs="Times New Roman"/>
      <w:b/>
      <w:sz w:val="32"/>
      <w:szCs w:val="20"/>
      <w:lang w:eastAsia="en-US"/>
    </w:rPr>
  </w:style>
  <w:style w:type="paragraph" w:styleId="BodyText">
    <w:name w:val="Body Text"/>
    <w:basedOn w:val="Normal"/>
    <w:link w:val="BodyTextChar"/>
    <w:rsid w:val="001C72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72ED"/>
    <w:rPr>
      <w:rFonts w:ascii="Times New Roman" w:eastAsia="Times New Roman" w:hAnsi="Times New Roman" w:cs="Times New Roman"/>
      <w:sz w:val="24"/>
      <w:lang w:eastAsia="en-US"/>
    </w:rPr>
  </w:style>
  <w:style w:type="paragraph" w:styleId="ListBullet">
    <w:name w:val="List Bullet"/>
    <w:basedOn w:val="List"/>
    <w:rsid w:val="001C72ED"/>
    <w:pPr>
      <w:numPr>
        <w:numId w:val="11"/>
      </w:numPr>
      <w:tabs>
        <w:tab w:val="clear" w:pos="340"/>
      </w:tabs>
      <w:spacing w:before="40" w:after="40"/>
    </w:pPr>
  </w:style>
  <w:style w:type="character" w:customStyle="1" w:styleId="SpecialBold">
    <w:name w:val="Special Bold"/>
    <w:basedOn w:val="DefaultParagraphFont"/>
    <w:rsid w:val="001C72ED"/>
    <w:rPr>
      <w:b/>
      <w:spacing w:val="0"/>
    </w:rPr>
  </w:style>
  <w:style w:type="paragraph" w:customStyle="1" w:styleId="SuperHeading">
    <w:name w:val="SuperHeading"/>
    <w:basedOn w:val="Normal"/>
    <w:rsid w:val="001C72ED"/>
    <w:pPr>
      <w:spacing w:before="240" w:after="120"/>
      <w:outlineLvl w:val="0"/>
    </w:pPr>
    <w:rPr>
      <w:rFonts w:ascii="Times New Roman" w:hAnsi="Times New Roman"/>
      <w:b/>
      <w:sz w:val="32"/>
    </w:rPr>
  </w:style>
  <w:style w:type="paragraph" w:customStyle="1" w:styleId="AllowPageBreak">
    <w:name w:val="AllowPageBreak"/>
    <w:rsid w:val="001C72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72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2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2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2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2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2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72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72ED"/>
    <w:rPr>
      <w:rFonts w:ascii="Courier New" w:eastAsia="Times New Roman" w:hAnsi="Courier New" w:cs="Times New Roman"/>
      <w:i/>
      <w:szCs w:val="20"/>
      <w:lang w:eastAsia="en-US"/>
    </w:rPr>
  </w:style>
  <w:style w:type="paragraph" w:customStyle="1" w:styleId="HeadingBase">
    <w:name w:val="Heading Base"/>
    <w:rsid w:val="001C72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2ED"/>
    <w:pPr>
      <w:tabs>
        <w:tab w:val="right" w:leader="dot" w:pos="9072"/>
      </w:tabs>
      <w:ind w:left="567"/>
    </w:pPr>
    <w:rPr>
      <w:szCs w:val="22"/>
    </w:rPr>
  </w:style>
  <w:style w:type="paragraph" w:customStyle="1" w:styleId="TOCBase">
    <w:name w:val="TOC Base"/>
    <w:rsid w:val="001C72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2ED"/>
    <w:pPr>
      <w:tabs>
        <w:tab w:val="right" w:leader="dot" w:pos="9072"/>
      </w:tabs>
      <w:spacing w:before="40" w:after="40"/>
      <w:ind w:left="284"/>
    </w:pPr>
    <w:rPr>
      <w:rFonts w:ascii="Times New Roman" w:hAnsi="Times New Roman"/>
    </w:rPr>
  </w:style>
  <w:style w:type="paragraph" w:styleId="TOC1">
    <w:name w:val="toc 1"/>
    <w:basedOn w:val="TOCBase"/>
    <w:next w:val="Normal"/>
    <w:rsid w:val="001C72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72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2ED"/>
    <w:rPr>
      <w:rFonts w:ascii="Times New Roman" w:eastAsia="Times New Roman" w:hAnsi="Times New Roman" w:cs="Times New Roman"/>
      <w:sz w:val="16"/>
      <w:lang w:eastAsia="en-US"/>
    </w:rPr>
  </w:style>
  <w:style w:type="paragraph" w:styleId="Title">
    <w:name w:val="Title"/>
    <w:basedOn w:val="HeadingBase"/>
    <w:link w:val="TitleChar"/>
    <w:qFormat/>
    <w:rsid w:val="001C72ED"/>
    <w:pPr>
      <w:spacing w:before="5040"/>
      <w:jc w:val="center"/>
    </w:pPr>
    <w:rPr>
      <w:sz w:val="48"/>
      <w:szCs w:val="72"/>
      <w:lang w:val="en-US"/>
    </w:rPr>
  </w:style>
  <w:style w:type="character" w:customStyle="1" w:styleId="TitleChar">
    <w:name w:val="Title Char"/>
    <w:basedOn w:val="DefaultParagraphFont"/>
    <w:link w:val="Title"/>
    <w:rsid w:val="001C72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2ED"/>
    <w:pPr>
      <w:tabs>
        <w:tab w:val="left" w:pos="3600"/>
        <w:tab w:val="left" w:pos="3958"/>
      </w:tabs>
    </w:pPr>
  </w:style>
  <w:style w:type="paragraph" w:styleId="List">
    <w:name w:val="List"/>
    <w:basedOn w:val="BodyText"/>
    <w:next w:val="BodyText"/>
    <w:rsid w:val="001C72ED"/>
    <w:pPr>
      <w:tabs>
        <w:tab w:val="left" w:pos="340"/>
      </w:tabs>
      <w:spacing w:before="60" w:after="60"/>
      <w:ind w:left="340" w:hanging="340"/>
    </w:pPr>
  </w:style>
  <w:style w:type="paragraph" w:customStyle="1" w:styleId="Note">
    <w:name w:val="Note"/>
    <w:basedOn w:val="BodyText"/>
    <w:rsid w:val="001C72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72ED"/>
    <w:pPr>
      <w:framePr w:wrap="auto" w:hAnchor="text" w:y="6049"/>
    </w:pPr>
    <w:rPr>
      <w:color w:val="000000"/>
      <w:sz w:val="40"/>
    </w:rPr>
  </w:style>
  <w:style w:type="paragraph" w:customStyle="1" w:styleId="TOCTitle">
    <w:name w:val="TOCTitle"/>
    <w:basedOn w:val="Heading1"/>
    <w:rsid w:val="001C72ED"/>
    <w:pPr>
      <w:spacing w:after="240"/>
      <w:jc w:val="center"/>
      <w:outlineLvl w:val="9"/>
    </w:pPr>
    <w:rPr>
      <w:caps/>
    </w:rPr>
  </w:style>
  <w:style w:type="paragraph" w:customStyle="1" w:styleId="Version">
    <w:name w:val="Version"/>
    <w:rsid w:val="001C72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72ED"/>
    <w:pPr>
      <w:numPr>
        <w:numId w:val="12"/>
      </w:numPr>
      <w:tabs>
        <w:tab w:val="clear" w:pos="680"/>
      </w:tabs>
    </w:pPr>
  </w:style>
  <w:style w:type="paragraph" w:styleId="Index1">
    <w:name w:val="index 1"/>
    <w:basedOn w:val="Normal"/>
    <w:next w:val="Normal"/>
    <w:semiHidden/>
    <w:rsid w:val="001C72ED"/>
    <w:pPr>
      <w:keepNext w:val="0"/>
      <w:tabs>
        <w:tab w:val="right" w:pos="4176"/>
      </w:tabs>
      <w:ind w:left="198" w:hanging="198"/>
    </w:pPr>
    <w:rPr>
      <w:rFonts w:ascii="Garamond" w:hAnsi="Garamond"/>
    </w:rPr>
  </w:style>
  <w:style w:type="paragraph" w:styleId="IndexHeading">
    <w:name w:val="index heading"/>
    <w:basedOn w:val="Normal"/>
    <w:next w:val="Index1"/>
    <w:semiHidden/>
    <w:rsid w:val="001C72ED"/>
    <w:pPr>
      <w:spacing w:before="120" w:after="120"/>
    </w:pPr>
    <w:rPr>
      <w:rFonts w:ascii="Arial" w:hAnsi="Arial"/>
      <w:b/>
      <w:color w:val="918585"/>
      <w:sz w:val="24"/>
    </w:rPr>
  </w:style>
  <w:style w:type="paragraph" w:styleId="Header">
    <w:name w:val="header"/>
    <w:basedOn w:val="Normal"/>
    <w:link w:val="HeaderChar"/>
    <w:rsid w:val="001C72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2ED"/>
    <w:rPr>
      <w:rFonts w:ascii="Times New Roman" w:eastAsia="Times New Roman" w:hAnsi="Times New Roman" w:cs="Times New Roman"/>
      <w:sz w:val="16"/>
      <w:szCs w:val="20"/>
      <w:lang w:val="en-GB" w:eastAsia="en-US"/>
    </w:rPr>
  </w:style>
  <w:style w:type="paragraph" w:customStyle="1" w:styleId="Chapter">
    <w:name w:val="Chapter"/>
    <w:basedOn w:val="Normal"/>
    <w:rsid w:val="001C72ED"/>
    <w:pPr>
      <w:spacing w:before="240"/>
    </w:pPr>
    <w:rPr>
      <w:rFonts w:ascii="Times New Roman" w:hAnsi="Times New Roman"/>
      <w:smallCaps/>
      <w:spacing w:val="80"/>
      <w:sz w:val="28"/>
    </w:rPr>
  </w:style>
  <w:style w:type="paragraph" w:customStyle="1" w:styleId="InChapter">
    <w:name w:val="InChapter"/>
    <w:basedOn w:val="Heading3"/>
    <w:rsid w:val="001C72ED"/>
    <w:pPr>
      <w:spacing w:after="240"/>
      <w:outlineLvl w:val="9"/>
    </w:pPr>
    <w:rPr>
      <w:noProof/>
    </w:rPr>
  </w:style>
  <w:style w:type="paragraph" w:styleId="Index2">
    <w:name w:val="index 2"/>
    <w:basedOn w:val="Normal"/>
    <w:next w:val="Normal"/>
    <w:semiHidden/>
    <w:rsid w:val="001C72ED"/>
    <w:pPr>
      <w:tabs>
        <w:tab w:val="right" w:pos="4176"/>
      </w:tabs>
      <w:ind w:left="568" w:hanging="284"/>
    </w:pPr>
    <w:rPr>
      <w:rFonts w:ascii="Garamond" w:hAnsi="Garamond"/>
    </w:rPr>
  </w:style>
  <w:style w:type="paragraph" w:customStyle="1" w:styleId="Byline">
    <w:name w:val="Byline"/>
    <w:rsid w:val="001C72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2ED"/>
    <w:pPr>
      <w:tabs>
        <w:tab w:val="clear" w:pos="3600"/>
        <w:tab w:val="clear" w:pos="3958"/>
      </w:tabs>
      <w:jc w:val="right"/>
    </w:pPr>
  </w:style>
  <w:style w:type="character" w:styleId="Emphasis">
    <w:name w:val="Emphasis"/>
    <w:basedOn w:val="DefaultParagraphFont"/>
    <w:qFormat/>
    <w:rsid w:val="001C72ED"/>
    <w:rPr>
      <w:i/>
    </w:rPr>
  </w:style>
  <w:style w:type="paragraph" w:styleId="Caption">
    <w:name w:val="caption"/>
    <w:basedOn w:val="BodyText"/>
    <w:next w:val="Normal"/>
    <w:qFormat/>
    <w:rsid w:val="001C72ED"/>
    <w:pPr>
      <w:framePr w:w="2268" w:hSpace="181" w:vSpace="181" w:wrap="around" w:vAnchor="text" w:hAnchor="page" w:x="1135" w:y="285" w:anchorLock="1"/>
    </w:pPr>
    <w:rPr>
      <w:i/>
    </w:rPr>
  </w:style>
  <w:style w:type="paragraph" w:customStyle="1" w:styleId="MiniTOCTitle">
    <w:name w:val="MiniTOCTitle"/>
    <w:basedOn w:val="Heading4"/>
    <w:rsid w:val="001C72ED"/>
    <w:pPr>
      <w:spacing w:before="240"/>
      <w:outlineLvl w:val="9"/>
    </w:pPr>
    <w:rPr>
      <w:noProof/>
      <w:sz w:val="24"/>
    </w:rPr>
  </w:style>
  <w:style w:type="paragraph" w:customStyle="1" w:styleId="MiniTOCItem">
    <w:name w:val="MiniTOCItem"/>
    <w:basedOn w:val="ListBullet"/>
    <w:rsid w:val="001C72ED"/>
    <w:pPr>
      <w:numPr>
        <w:numId w:val="0"/>
      </w:numPr>
      <w:tabs>
        <w:tab w:val="right" w:leader="dot" w:pos="6521"/>
      </w:tabs>
      <w:spacing w:before="0" w:after="0"/>
    </w:pPr>
  </w:style>
  <w:style w:type="paragraph" w:customStyle="1" w:styleId="TOFTitle">
    <w:name w:val="TOFTitle"/>
    <w:basedOn w:val="TOCTitle"/>
    <w:rsid w:val="001C72ED"/>
  </w:style>
  <w:style w:type="paragraph" w:styleId="TableofFigures">
    <w:name w:val="table of figures"/>
    <w:basedOn w:val="Normal"/>
    <w:next w:val="Normal"/>
    <w:semiHidden/>
    <w:rsid w:val="001C72ED"/>
    <w:pPr>
      <w:tabs>
        <w:tab w:val="right" w:leader="dot" w:pos="9072"/>
      </w:tabs>
      <w:ind w:left="970" w:hanging="403"/>
    </w:pPr>
    <w:rPr>
      <w:rFonts w:ascii="Times New Roman" w:hAnsi="Times New Roman"/>
      <w:b/>
    </w:rPr>
  </w:style>
  <w:style w:type="paragraph" w:styleId="ListNumber">
    <w:name w:val="List Number"/>
    <w:basedOn w:val="List"/>
    <w:rsid w:val="001C72ED"/>
    <w:pPr>
      <w:numPr>
        <w:numId w:val="14"/>
      </w:numPr>
      <w:tabs>
        <w:tab w:val="clear" w:pos="340"/>
      </w:tabs>
    </w:pPr>
  </w:style>
  <w:style w:type="character" w:customStyle="1" w:styleId="WingdingSymbols">
    <w:name w:val="Wingding Symbols"/>
    <w:rsid w:val="001C72ED"/>
    <w:rPr>
      <w:rFonts w:ascii="Wingdings" w:hAnsi="Wingdings"/>
    </w:rPr>
  </w:style>
  <w:style w:type="paragraph" w:customStyle="1" w:styleId="TableHeading">
    <w:name w:val="Table Heading"/>
    <w:basedOn w:val="HeadingBase"/>
    <w:rsid w:val="001C72ED"/>
    <w:pPr>
      <w:keepLines/>
      <w:pBdr>
        <w:bottom w:val="single" w:sz="6" w:space="1" w:color="918585"/>
      </w:pBdr>
      <w:spacing w:before="240"/>
    </w:pPr>
  </w:style>
  <w:style w:type="character" w:customStyle="1" w:styleId="HotSpot">
    <w:name w:val="HotSpot"/>
    <w:rsid w:val="001C72ED"/>
    <w:rPr>
      <w:color w:val="0033CC"/>
      <w:u w:val="none"/>
    </w:rPr>
  </w:style>
  <w:style w:type="paragraph" w:customStyle="1" w:styleId="BodyTextRight">
    <w:name w:val="Body Text Right"/>
    <w:basedOn w:val="BodyText"/>
    <w:rsid w:val="001C72ED"/>
    <w:pPr>
      <w:spacing w:before="0" w:after="0"/>
      <w:jc w:val="right"/>
    </w:pPr>
  </w:style>
  <w:style w:type="paragraph" w:styleId="Index3">
    <w:name w:val="index 3"/>
    <w:basedOn w:val="ListNumber2"/>
    <w:next w:val="Normal"/>
    <w:semiHidden/>
    <w:rsid w:val="001C72ED"/>
    <w:pPr>
      <w:numPr>
        <w:numId w:val="0"/>
      </w:numPr>
      <w:tabs>
        <w:tab w:val="right" w:leader="dot" w:pos="4176"/>
      </w:tabs>
    </w:pPr>
  </w:style>
  <w:style w:type="paragraph" w:styleId="ListNumber2">
    <w:name w:val="List Number 2"/>
    <w:basedOn w:val="List2"/>
    <w:rsid w:val="001C72ED"/>
    <w:pPr>
      <w:numPr>
        <w:numId w:val="9"/>
      </w:numPr>
      <w:tabs>
        <w:tab w:val="clear" w:pos="1060"/>
      </w:tabs>
    </w:pPr>
  </w:style>
  <w:style w:type="paragraph" w:customStyle="1" w:styleId="MarginNote">
    <w:name w:val="Margin Note"/>
    <w:basedOn w:val="BodyText"/>
    <w:rsid w:val="001C72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2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2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72ED"/>
    <w:rPr>
      <w:sz w:val="32"/>
    </w:rPr>
  </w:style>
  <w:style w:type="paragraph" w:customStyle="1" w:styleId="HeadingProcedure">
    <w:name w:val="Heading Procedure"/>
    <w:basedOn w:val="HeadingBase"/>
    <w:next w:val="Normal"/>
    <w:rsid w:val="001C72ED"/>
    <w:pPr>
      <w:tabs>
        <w:tab w:val="left" w:pos="0"/>
      </w:tabs>
      <w:spacing w:before="120" w:after="60"/>
    </w:pPr>
    <w:rPr>
      <w:i/>
      <w:color w:val="918585"/>
      <w:sz w:val="22"/>
    </w:rPr>
  </w:style>
  <w:style w:type="paragraph" w:customStyle="1" w:styleId="TableBodyText">
    <w:name w:val="Table Body Text"/>
    <w:basedOn w:val="BodyText"/>
    <w:rsid w:val="001C72ED"/>
    <w:pPr>
      <w:spacing w:before="60" w:after="60"/>
    </w:pPr>
  </w:style>
  <w:style w:type="paragraph" w:styleId="ListContinue">
    <w:name w:val="List Continue"/>
    <w:basedOn w:val="List"/>
    <w:rsid w:val="001C72ED"/>
    <w:pPr>
      <w:ind w:firstLine="0"/>
    </w:pPr>
  </w:style>
  <w:style w:type="paragraph" w:customStyle="1" w:styleId="ListNote">
    <w:name w:val="List Note"/>
    <w:basedOn w:val="List"/>
    <w:rsid w:val="001C72ED"/>
    <w:pPr>
      <w:pBdr>
        <w:top w:val="single" w:sz="6" w:space="2" w:color="918585"/>
        <w:bottom w:val="single" w:sz="6" w:space="2" w:color="918585"/>
      </w:pBdr>
      <w:tabs>
        <w:tab w:val="left" w:pos="1021"/>
      </w:tabs>
      <w:ind w:firstLine="0"/>
    </w:pPr>
  </w:style>
  <w:style w:type="paragraph" w:customStyle="1" w:styleId="Warning">
    <w:name w:val="Warning"/>
    <w:basedOn w:val="BodyText"/>
    <w:rsid w:val="001C72ED"/>
    <w:pPr>
      <w:shd w:val="clear" w:color="auto" w:fill="D9D9D9"/>
      <w:tabs>
        <w:tab w:val="left" w:pos="992"/>
      </w:tabs>
      <w:ind w:left="119" w:right="119"/>
    </w:pPr>
    <w:rPr>
      <w:sz w:val="20"/>
    </w:rPr>
  </w:style>
  <w:style w:type="paragraph" w:customStyle="1" w:styleId="MarginIcons">
    <w:name w:val="Margin Icons"/>
    <w:basedOn w:val="BodyText"/>
    <w:rsid w:val="001C72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2ED"/>
    <w:rPr>
      <w:rFonts w:ascii="Courier New" w:hAnsi="Courier New"/>
    </w:rPr>
  </w:style>
  <w:style w:type="paragraph" w:customStyle="1" w:styleId="NoteBullet">
    <w:name w:val="Note Bullet"/>
    <w:basedOn w:val="Note"/>
    <w:rsid w:val="001C72ED"/>
    <w:pPr>
      <w:tabs>
        <w:tab w:val="clear" w:pos="680"/>
      </w:tabs>
      <w:spacing w:before="60" w:after="60"/>
    </w:pPr>
  </w:style>
  <w:style w:type="paragraph" w:customStyle="1" w:styleId="SubHeading2">
    <w:name w:val="SubHeading2"/>
    <w:basedOn w:val="HeadingBase"/>
    <w:rsid w:val="001C72ED"/>
    <w:pPr>
      <w:spacing w:before="240" w:after="60"/>
    </w:pPr>
    <w:rPr>
      <w:sz w:val="20"/>
    </w:rPr>
  </w:style>
  <w:style w:type="paragraph" w:customStyle="1" w:styleId="SubHeading1">
    <w:name w:val="SubHeading1"/>
    <w:basedOn w:val="HeadingBase"/>
    <w:rsid w:val="001C72ED"/>
    <w:pPr>
      <w:spacing w:before="240" w:after="60"/>
    </w:pPr>
    <w:rPr>
      <w:color w:val="918585"/>
      <w:sz w:val="22"/>
    </w:rPr>
  </w:style>
  <w:style w:type="paragraph" w:customStyle="1" w:styleId="SideHeading">
    <w:name w:val="Side Heading"/>
    <w:basedOn w:val="HeadingBase"/>
    <w:rsid w:val="001C72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2ED"/>
    <w:pPr>
      <w:numPr>
        <w:numId w:val="10"/>
      </w:numPr>
    </w:pPr>
  </w:style>
  <w:style w:type="paragraph" w:styleId="PlainText">
    <w:name w:val="Plain Text"/>
    <w:basedOn w:val="Normal"/>
    <w:link w:val="PlainTextChar"/>
    <w:rsid w:val="001C72ED"/>
    <w:rPr>
      <w:sz w:val="20"/>
    </w:rPr>
  </w:style>
  <w:style w:type="character" w:customStyle="1" w:styleId="PlainTextChar">
    <w:name w:val="Plain Text Char"/>
    <w:basedOn w:val="DefaultParagraphFont"/>
    <w:link w:val="PlainText"/>
    <w:rsid w:val="001C72ED"/>
    <w:rPr>
      <w:rFonts w:ascii="Courier New" w:eastAsia="Times New Roman" w:hAnsi="Courier New" w:cs="Times New Roman"/>
      <w:sz w:val="20"/>
      <w:szCs w:val="20"/>
      <w:lang w:eastAsia="en-US"/>
    </w:rPr>
  </w:style>
  <w:style w:type="character" w:customStyle="1" w:styleId="MenuOption">
    <w:name w:val="Menu Option"/>
    <w:basedOn w:val="DefaultParagraphFont"/>
    <w:rsid w:val="001C72ED"/>
    <w:rPr>
      <w:b/>
      <w:smallCaps/>
    </w:rPr>
  </w:style>
  <w:style w:type="paragraph" w:customStyle="1" w:styleId="TableListNumber">
    <w:name w:val="Table List Number"/>
    <w:basedOn w:val="ListNumber"/>
    <w:rsid w:val="001C72ED"/>
    <w:pPr>
      <w:numPr>
        <w:numId w:val="0"/>
      </w:numPr>
    </w:pPr>
  </w:style>
  <w:style w:type="paragraph" w:styleId="TOC4">
    <w:name w:val="toc 4"/>
    <w:basedOn w:val="TOCBase"/>
    <w:next w:val="Normal"/>
    <w:semiHidden/>
    <w:rsid w:val="001C72ED"/>
    <w:pPr>
      <w:tabs>
        <w:tab w:val="right" w:leader="dot" w:pos="9071"/>
      </w:tabs>
      <w:ind w:left="1701"/>
    </w:pPr>
  </w:style>
  <w:style w:type="paragraph" w:customStyle="1" w:styleId="ListAlpha">
    <w:name w:val="List Alpha"/>
    <w:basedOn w:val="List"/>
    <w:rsid w:val="001C72ED"/>
    <w:pPr>
      <w:numPr>
        <w:numId w:val="8"/>
      </w:numPr>
    </w:pPr>
  </w:style>
  <w:style w:type="paragraph" w:customStyle="1" w:styleId="ListAlpha2">
    <w:name w:val="List Alpha 2"/>
    <w:basedOn w:val="List2"/>
    <w:rsid w:val="001C72ED"/>
    <w:pPr>
      <w:numPr>
        <w:numId w:val="7"/>
      </w:numPr>
    </w:pPr>
  </w:style>
  <w:style w:type="paragraph" w:styleId="List2">
    <w:name w:val="List 2"/>
    <w:basedOn w:val="BodyText"/>
    <w:rsid w:val="001C72ED"/>
    <w:pPr>
      <w:tabs>
        <w:tab w:val="left" w:pos="680"/>
      </w:tabs>
      <w:spacing w:before="60" w:after="60"/>
      <w:ind w:left="680" w:hanging="340"/>
    </w:pPr>
  </w:style>
  <w:style w:type="paragraph" w:styleId="List3">
    <w:name w:val="List 3"/>
    <w:basedOn w:val="BodyText"/>
    <w:rsid w:val="001C72ED"/>
    <w:pPr>
      <w:tabs>
        <w:tab w:val="left" w:pos="1021"/>
      </w:tabs>
      <w:spacing w:before="60" w:after="60"/>
      <w:ind w:left="1020" w:hanging="340"/>
    </w:pPr>
  </w:style>
  <w:style w:type="paragraph" w:styleId="List4">
    <w:name w:val="List 4"/>
    <w:basedOn w:val="BodyText"/>
    <w:rsid w:val="001C72ED"/>
    <w:pPr>
      <w:tabs>
        <w:tab w:val="left" w:pos="1361"/>
      </w:tabs>
      <w:spacing w:before="60" w:after="60"/>
      <w:ind w:left="1361" w:hanging="340"/>
    </w:pPr>
  </w:style>
  <w:style w:type="paragraph" w:styleId="List5">
    <w:name w:val="List 5"/>
    <w:basedOn w:val="BodyText"/>
    <w:rsid w:val="001C72ED"/>
    <w:pPr>
      <w:tabs>
        <w:tab w:val="left" w:pos="1701"/>
      </w:tabs>
      <w:spacing w:before="60" w:after="60"/>
      <w:ind w:left="1701" w:hanging="340"/>
    </w:pPr>
  </w:style>
  <w:style w:type="paragraph" w:styleId="ListBullet3">
    <w:name w:val="List Bullet 3"/>
    <w:basedOn w:val="List3"/>
    <w:rsid w:val="001C72ED"/>
    <w:pPr>
      <w:numPr>
        <w:numId w:val="13"/>
      </w:numPr>
      <w:tabs>
        <w:tab w:val="clear" w:pos="1021"/>
      </w:tabs>
      <w:ind w:left="1037" w:hanging="357"/>
    </w:pPr>
  </w:style>
  <w:style w:type="paragraph" w:styleId="ListBullet4">
    <w:name w:val="List Bullet 4"/>
    <w:basedOn w:val="List4"/>
    <w:rsid w:val="001C72ED"/>
    <w:pPr>
      <w:numPr>
        <w:numId w:val="2"/>
      </w:numPr>
      <w:tabs>
        <w:tab w:val="clear" w:pos="1361"/>
      </w:tabs>
    </w:pPr>
  </w:style>
  <w:style w:type="paragraph" w:styleId="ListBullet5">
    <w:name w:val="List Bullet 5"/>
    <w:basedOn w:val="List5"/>
    <w:rsid w:val="001C72ED"/>
    <w:pPr>
      <w:numPr>
        <w:numId w:val="3"/>
      </w:numPr>
    </w:pPr>
  </w:style>
  <w:style w:type="paragraph" w:styleId="ListContinue2">
    <w:name w:val="List Continue 2"/>
    <w:basedOn w:val="List2"/>
    <w:rsid w:val="001C72ED"/>
    <w:pPr>
      <w:ind w:firstLine="0"/>
    </w:pPr>
  </w:style>
  <w:style w:type="paragraph" w:styleId="ListContinue3">
    <w:name w:val="List Continue 3"/>
    <w:basedOn w:val="List3"/>
    <w:rsid w:val="001C72ED"/>
    <w:pPr>
      <w:ind w:left="1021" w:firstLine="0"/>
    </w:pPr>
  </w:style>
  <w:style w:type="paragraph" w:styleId="ListContinue4">
    <w:name w:val="List Continue 4"/>
    <w:basedOn w:val="List4"/>
    <w:rsid w:val="001C72ED"/>
    <w:pPr>
      <w:ind w:firstLine="0"/>
    </w:pPr>
  </w:style>
  <w:style w:type="paragraph" w:styleId="ListContinue5">
    <w:name w:val="List Continue 5"/>
    <w:basedOn w:val="List5"/>
    <w:rsid w:val="001C72ED"/>
    <w:pPr>
      <w:ind w:firstLine="0"/>
    </w:pPr>
  </w:style>
  <w:style w:type="paragraph" w:styleId="ListNumber3">
    <w:name w:val="List Number 3"/>
    <w:basedOn w:val="List3"/>
    <w:rsid w:val="001C72ED"/>
    <w:pPr>
      <w:numPr>
        <w:numId w:val="4"/>
      </w:numPr>
    </w:pPr>
  </w:style>
  <w:style w:type="paragraph" w:styleId="ListNumber4">
    <w:name w:val="List Number 4"/>
    <w:basedOn w:val="List4"/>
    <w:rsid w:val="001C72ED"/>
    <w:pPr>
      <w:numPr>
        <w:numId w:val="5"/>
      </w:numPr>
    </w:pPr>
  </w:style>
  <w:style w:type="paragraph" w:styleId="ListNumber5">
    <w:name w:val="List Number 5"/>
    <w:basedOn w:val="List5"/>
    <w:rsid w:val="001C72ED"/>
    <w:pPr>
      <w:numPr>
        <w:numId w:val="6"/>
      </w:numPr>
    </w:pPr>
  </w:style>
  <w:style w:type="paragraph" w:styleId="BlockText">
    <w:name w:val="Block Text"/>
    <w:basedOn w:val="Normal"/>
    <w:rsid w:val="001C72ED"/>
    <w:pPr>
      <w:spacing w:after="120"/>
      <w:ind w:left="1440" w:right="1440"/>
    </w:pPr>
  </w:style>
  <w:style w:type="character" w:customStyle="1" w:styleId="Subscript">
    <w:name w:val="Subscript"/>
    <w:basedOn w:val="DefaultParagraphFont"/>
    <w:rsid w:val="001C72ED"/>
    <w:rPr>
      <w:sz w:val="16"/>
      <w:vertAlign w:val="subscript"/>
    </w:rPr>
  </w:style>
  <w:style w:type="character" w:customStyle="1" w:styleId="Superscript">
    <w:name w:val="Superscript"/>
    <w:basedOn w:val="DefaultParagraphFont"/>
    <w:rsid w:val="001C72ED"/>
    <w:rPr>
      <w:sz w:val="16"/>
      <w:vertAlign w:val="superscript"/>
    </w:rPr>
  </w:style>
  <w:style w:type="character" w:customStyle="1" w:styleId="Symbols">
    <w:name w:val="Symbols"/>
    <w:basedOn w:val="DefaultParagraphFont"/>
    <w:rsid w:val="001C72ED"/>
    <w:rPr>
      <w:rFonts w:ascii="Symbol" w:hAnsi="Symbol"/>
    </w:rPr>
  </w:style>
  <w:style w:type="character" w:customStyle="1" w:styleId="MenuOptions">
    <w:name w:val="Menu Options"/>
    <w:basedOn w:val="DefaultParagraphFont"/>
    <w:rsid w:val="001C72ED"/>
    <w:rPr>
      <w:rFonts w:ascii="Arial Narrow" w:hAnsi="Arial Narrow"/>
      <w:smallCaps/>
    </w:rPr>
  </w:style>
  <w:style w:type="character" w:customStyle="1" w:styleId="Buttons">
    <w:name w:val="Buttons"/>
    <w:basedOn w:val="DefaultParagraphFont"/>
    <w:rsid w:val="001C72ED"/>
    <w:rPr>
      <w:b/>
    </w:rPr>
  </w:style>
  <w:style w:type="character" w:customStyle="1" w:styleId="Underlined">
    <w:name w:val="Underlined"/>
    <w:basedOn w:val="DefaultParagraphFont"/>
    <w:rsid w:val="001C72ED"/>
    <w:rPr>
      <w:u w:val="single"/>
    </w:rPr>
  </w:style>
  <w:style w:type="paragraph" w:customStyle="1" w:styleId="TableBodyTextRight">
    <w:name w:val="Table Body Text Right"/>
    <w:basedOn w:val="TableBodyText"/>
    <w:rsid w:val="001C72ED"/>
    <w:pPr>
      <w:widowControl w:val="0"/>
      <w:autoSpaceDE w:val="0"/>
      <w:autoSpaceDN w:val="0"/>
      <w:adjustRightInd w:val="0"/>
      <w:jc w:val="right"/>
    </w:pPr>
    <w:rPr>
      <w:rFonts w:cs="Arial"/>
      <w:szCs w:val="18"/>
    </w:rPr>
  </w:style>
  <w:style w:type="paragraph" w:customStyle="1" w:styleId="CopyrightText">
    <w:name w:val="Copyright Text"/>
    <w:basedOn w:val="BodyText"/>
    <w:rsid w:val="001C72ED"/>
    <w:rPr>
      <w:sz w:val="18"/>
    </w:rPr>
  </w:style>
  <w:style w:type="paragraph" w:customStyle="1" w:styleId="BodySmallRight">
    <w:name w:val="Body Small Right"/>
    <w:basedOn w:val="BodyTextRight"/>
    <w:rsid w:val="001C72ED"/>
    <w:rPr>
      <w:sz w:val="18"/>
      <w:szCs w:val="18"/>
    </w:rPr>
  </w:style>
  <w:style w:type="paragraph" w:customStyle="1" w:styleId="MarginEdition">
    <w:name w:val="Margin Edition"/>
    <w:basedOn w:val="MarginNote"/>
    <w:rsid w:val="001C72ED"/>
    <w:pPr>
      <w:spacing w:before="0" w:after="0"/>
    </w:pPr>
    <w:rPr>
      <w:rFonts w:ascii="Times New Roman" w:hAnsi="Times New Roman"/>
      <w:color w:val="999999"/>
    </w:rPr>
  </w:style>
  <w:style w:type="paragraph" w:customStyle="1" w:styleId="Spacer">
    <w:name w:val="Spacer"/>
    <w:basedOn w:val="Normal"/>
    <w:rsid w:val="001C72ED"/>
    <w:rPr>
      <w:sz w:val="2"/>
      <w:szCs w:val="2"/>
    </w:rPr>
  </w:style>
  <w:style w:type="character" w:customStyle="1" w:styleId="Small">
    <w:name w:val="Small"/>
    <w:basedOn w:val="DefaultParagraphFont"/>
    <w:rsid w:val="001C72ED"/>
    <w:rPr>
      <w:sz w:val="16"/>
    </w:rPr>
  </w:style>
  <w:style w:type="paragraph" w:customStyle="1" w:styleId="WideTable">
    <w:name w:val="Wide Table"/>
    <w:basedOn w:val="Normal"/>
    <w:rsid w:val="001C72ED"/>
    <w:pPr>
      <w:ind w:left="-1418"/>
    </w:pPr>
    <w:rPr>
      <w:sz w:val="2"/>
      <w:szCs w:val="2"/>
    </w:rPr>
  </w:style>
  <w:style w:type="character" w:styleId="PageNumber">
    <w:name w:val="page number"/>
    <w:basedOn w:val="DefaultParagraphFont"/>
    <w:rsid w:val="001C72ED"/>
  </w:style>
  <w:style w:type="paragraph" w:styleId="Quote">
    <w:name w:val="Quote"/>
    <w:basedOn w:val="Heading1"/>
    <w:link w:val="QuoteChar"/>
    <w:qFormat/>
    <w:rsid w:val="001C72ED"/>
    <w:rPr>
      <w:b w:val="0"/>
      <w:sz w:val="72"/>
      <w:szCs w:val="72"/>
      <w:lang w:val="en-NZ"/>
    </w:rPr>
  </w:style>
  <w:style w:type="character" w:customStyle="1" w:styleId="QuoteChar">
    <w:name w:val="Quote Char"/>
    <w:basedOn w:val="DefaultParagraphFont"/>
    <w:link w:val="Quote"/>
    <w:rsid w:val="001C72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2ED"/>
    <w:pPr>
      <w:pageBreakBefore/>
    </w:pPr>
  </w:style>
  <w:style w:type="paragraph" w:customStyle="1" w:styleId="Border">
    <w:name w:val="Border"/>
    <w:basedOn w:val="Normal"/>
    <w:qFormat/>
    <w:rsid w:val="001C72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2ED"/>
    <w:rPr>
      <w:b/>
      <w:bCs/>
      <w:i/>
      <w:iCs/>
      <w:color w:val="auto"/>
    </w:rPr>
  </w:style>
  <w:style w:type="paragraph" w:styleId="IntenseQuote">
    <w:name w:val="Intense Quote"/>
    <w:basedOn w:val="Normal"/>
    <w:next w:val="Normal"/>
    <w:link w:val="IntenseQuoteChar"/>
    <w:uiPriority w:val="30"/>
    <w:qFormat/>
    <w:rsid w:val="001C72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2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72ED"/>
    <w:rPr>
      <w:smallCaps/>
      <w:color w:val="auto"/>
      <w:u w:val="single"/>
    </w:rPr>
  </w:style>
  <w:style w:type="character" w:styleId="IntenseReference">
    <w:name w:val="Intense Reference"/>
    <w:basedOn w:val="DefaultParagraphFont"/>
    <w:uiPriority w:val="32"/>
    <w:qFormat/>
    <w:rsid w:val="001C72ED"/>
    <w:rPr>
      <w:b/>
      <w:bCs/>
      <w:smallCaps/>
      <w:color w:val="auto"/>
      <w:spacing w:val="5"/>
      <w:u w:val="single"/>
    </w:rPr>
  </w:style>
  <w:style w:type="paragraph" w:customStyle="1" w:styleId="2ColumnHeading">
    <w:name w:val="2Column Heading"/>
    <w:basedOn w:val="BodyText"/>
    <w:qFormat/>
    <w:rsid w:val="001C72ED"/>
    <w:pPr>
      <w:spacing w:after="60"/>
      <w:ind w:left="-2268"/>
    </w:pPr>
    <w:rPr>
      <w:b/>
    </w:rPr>
  </w:style>
  <w:style w:type="paragraph" w:customStyle="1" w:styleId="Heading1TOC">
    <w:name w:val="Heading1 TOC"/>
    <w:basedOn w:val="Normal"/>
    <w:qFormat/>
    <w:rsid w:val="001C72ED"/>
    <w:pPr>
      <w:spacing w:before="240" w:after="120"/>
    </w:pPr>
    <w:rPr>
      <w:rFonts w:ascii="Times New Roman" w:hAnsi="Times New Roman"/>
      <w:b/>
      <w:sz w:val="32"/>
    </w:rPr>
  </w:style>
  <w:style w:type="paragraph" w:customStyle="1" w:styleId="Heading2TOC">
    <w:name w:val="Heading2 TOC"/>
    <w:basedOn w:val="Normal"/>
    <w:qFormat/>
    <w:rsid w:val="001C72ED"/>
    <w:pPr>
      <w:spacing w:before="240" w:after="60"/>
    </w:pPr>
    <w:rPr>
      <w:rFonts w:ascii="Times New Roman" w:hAnsi="Times New Roman"/>
      <w:b/>
      <w:sz w:val="28"/>
    </w:rPr>
  </w:style>
  <w:style w:type="character" w:customStyle="1" w:styleId="Underline">
    <w:name w:val="Underline"/>
    <w:basedOn w:val="DefaultParagraphFont"/>
    <w:qFormat/>
    <w:rsid w:val="001C72ED"/>
    <w:rPr>
      <w:u w:val="single"/>
    </w:rPr>
  </w:style>
  <w:style w:type="character" w:customStyle="1" w:styleId="BoldandItalics">
    <w:name w:val="Bold and Italics"/>
    <w:qFormat/>
    <w:rsid w:val="001C72ED"/>
    <w:rPr>
      <w:b/>
      <w:i/>
      <w:u w:val="none"/>
    </w:rPr>
  </w:style>
  <w:style w:type="paragraph" w:styleId="BalloonText">
    <w:name w:val="Balloon Text"/>
    <w:basedOn w:val="Normal"/>
    <w:link w:val="BalloonTextChar"/>
    <w:rsid w:val="001C72ED"/>
    <w:rPr>
      <w:rFonts w:ascii="Tahoma" w:hAnsi="Tahoma" w:cs="Tahoma"/>
      <w:sz w:val="16"/>
      <w:szCs w:val="16"/>
    </w:rPr>
  </w:style>
  <w:style w:type="character" w:customStyle="1" w:styleId="BalloonTextChar">
    <w:name w:val="Balloon Text Char"/>
    <w:basedOn w:val="DefaultParagraphFont"/>
    <w:link w:val="BalloonText"/>
    <w:rsid w:val="001C72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72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72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72ED"/>
    <w:rPr>
      <w:b/>
      <w:color w:val="660033"/>
      <w:spacing w:val="0"/>
    </w:rPr>
  </w:style>
  <w:style w:type="paragraph" w:customStyle="1" w:styleId="Nameditemlist">
    <w:name w:val="Named item list"/>
    <w:basedOn w:val="BodyText"/>
    <w:qFormat/>
    <w:rsid w:val="001C72ED"/>
    <w:pPr>
      <w:tabs>
        <w:tab w:val="left" w:pos="2835"/>
      </w:tabs>
      <w:ind w:left="2835" w:hanging="2835"/>
    </w:pPr>
  </w:style>
  <w:style w:type="paragraph" w:customStyle="1" w:styleId="BodyTextnopadding">
    <w:name w:val="Body Text no padding"/>
    <w:basedOn w:val="BodyText"/>
    <w:qFormat/>
    <w:rsid w:val="001C72ED"/>
    <w:pPr>
      <w:spacing w:before="0" w:after="0"/>
    </w:pPr>
  </w:style>
  <w:style w:type="paragraph" w:customStyle="1" w:styleId="BodyTextBold">
    <w:name w:val="Body Text Bold"/>
    <w:basedOn w:val="BodyText"/>
    <w:qFormat/>
    <w:rsid w:val="001C72ED"/>
    <w:rPr>
      <w:b/>
    </w:rPr>
  </w:style>
  <w:style w:type="character" w:styleId="Hyperlink">
    <w:name w:val="Hyperlink"/>
    <w:basedOn w:val="DefaultParagraphFont"/>
    <w:uiPriority w:val="99"/>
    <w:unhideWhenUsed/>
    <w:rsid w:val="00DC4A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3677</Characters>
  <Application>Microsoft Office Word</Application>
  <DocSecurity>0</DocSecurity>
  <Lines>183</Lines>
  <Paragraphs>106</Paragraphs>
  <ScaleCrop>false</ScaleCrop>
  <Company>Author-it Software Corporation Ltd.</Company>
  <LinksUpToDate>false</LinksUpToDate>
  <CharactersWithSpaces>4161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MEM11005 Pick and process order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2023-02-03T07:17:00Z</dcterms:created>
  <dcterms:modified xsi:type="dcterms:W3CDTF">2023-02-03T07:17:00Z</dcterms:modified>
</cp:coreProperties>
</file>