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8A6" w:rsidP="004A1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MEM11005 Pick and process order</w:t>
      </w:r>
      <w:r>
        <w:fldChar w:fldCharType="end"/>
      </w:r>
    </w:p>
    <w:p w:rsidR="004A18A6" w:rsidP="004A18A6">
      <w:pPr>
        <w:pStyle w:val="Version"/>
        <w:sectPr w:rsidSect="00E32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BDB" w:rsidP="00E32BDB">
      <w:pPr>
        <w:pStyle w:val="SuperHeading"/>
      </w:pPr>
      <w:r w:rsidRPr="00E32BDB">
        <w:t>Assessment Requirements for MEM11005 Pick and process order</w:t>
      </w:r>
    </w:p>
    <w:p w:rsidR="00000000" w:rsidRPr="00E32BDB" w:rsidP="00E32BDB">
      <w:pPr>
        <w:pStyle w:val="Heading1"/>
      </w:pPr>
      <w:bookmarkStart w:id="1" w:name="O_950453"/>
      <w:bookmarkEnd w:id="1"/>
      <w:r w:rsidRPr="00E32BDB">
        <w:t>Modification History</w:t>
      </w:r>
    </w:p>
    <w:p w:rsidR="00000000" w:rsidRPr="00E32BDB" w:rsidP="004A18A6">
      <w:pPr>
        <w:pStyle w:val="BodyText"/>
      </w:pPr>
      <w:r w:rsidRPr="00E32BDB">
        <w:t xml:space="preserve">Release 1. Supersedes and is equivalent to MEM11005B Pick and process order </w:t>
      </w:r>
    </w:p>
    <w:p w:rsidR="00000000" w:rsidRPr="00E32BDB" w:rsidP="00E32BDB">
      <w:pPr>
        <w:pStyle w:val="Heading1"/>
      </w:pPr>
      <w:bookmarkStart w:id="2" w:name="O_950456"/>
      <w:bookmarkEnd w:id="2"/>
      <w:r w:rsidRPr="00E32BDB">
        <w:t>Performance Evidence</w:t>
      </w:r>
    </w:p>
    <w:p w:rsidR="00000000" w:rsidRPr="00E32BDB" w:rsidP="004A18A6">
      <w:pPr>
        <w:pStyle w:val="BodyText"/>
      </w:pPr>
      <w:r w:rsidRPr="00E32BDB">
        <w:t>Evidence required to demonstrate competence in this unit must be relevant to and satisfy the requirement</w:t>
      </w:r>
      <w:r w:rsidRPr="00E32BDB">
        <w:t>s of the elements and performance criteria on at least two (2) occasions and include:</w:t>
      </w:r>
    </w:p>
    <w:p w:rsidR="00000000" w:rsidRPr="00E32BDB" w:rsidP="00E32BDB">
      <w:pPr>
        <w:pStyle w:val="ListBullet"/>
      </w:pPr>
      <w:r w:rsidRPr="00E32BDB">
        <w:t>following work instructions, standard operating procedures (SOPs) and safe work practices for picking and processing an order</w:t>
      </w:r>
    </w:p>
    <w:p w:rsidR="00000000" w:rsidRPr="00E32BDB" w:rsidP="00E32BDB">
      <w:pPr>
        <w:pStyle w:val="ListBullet"/>
      </w:pPr>
      <w:r w:rsidRPr="00E32BDB">
        <w:t>using appropriate material handling equipme</w:t>
      </w:r>
      <w:r w:rsidRPr="00E32BDB">
        <w:t xml:space="preserve">nt in a warehouse </w:t>
      </w:r>
    </w:p>
    <w:p w:rsidR="00000000" w:rsidRPr="00E32BDB" w:rsidP="00E32BDB">
      <w:pPr>
        <w:pStyle w:val="ListBullet"/>
      </w:pPr>
      <w:r w:rsidRPr="00E32BDB">
        <w:t xml:space="preserve">picking/selecting products to fulfil order </w:t>
      </w:r>
    </w:p>
    <w:p w:rsidR="00000000" w:rsidRPr="00E32BDB" w:rsidP="00E32BDB">
      <w:pPr>
        <w:pStyle w:val="ListBullet"/>
      </w:pPr>
      <w:r w:rsidRPr="00E32BDB">
        <w:t xml:space="preserve">handling product in accordance with legislative requirements </w:t>
      </w:r>
    </w:p>
    <w:p w:rsidR="00000000" w:rsidRPr="00E32BDB" w:rsidP="00E32BDB">
      <w:pPr>
        <w:pStyle w:val="ListBullet"/>
      </w:pPr>
      <w:r w:rsidRPr="00E32BDB">
        <w:t>completing all enterprise documentation.</w:t>
      </w:r>
    </w:p>
    <w:p w:rsidR="00000000" w:rsidRPr="00E32BDB" w:rsidP="00E32BDB">
      <w:pPr>
        <w:pStyle w:val="AllowPageBreak"/>
      </w:pPr>
    </w:p>
    <w:p w:rsidR="00000000" w:rsidRPr="00E32BDB" w:rsidP="00E32BDB">
      <w:pPr>
        <w:pStyle w:val="Heading1"/>
      </w:pPr>
      <w:bookmarkStart w:id="3" w:name="O_950455"/>
      <w:bookmarkEnd w:id="3"/>
      <w:r w:rsidRPr="00E32BDB">
        <w:t>Knowledge Evidence</w:t>
      </w:r>
    </w:p>
    <w:p w:rsidR="00000000" w:rsidRPr="00E32BDB" w:rsidP="004A18A6">
      <w:pPr>
        <w:pStyle w:val="BodyText"/>
      </w:pPr>
      <w:r w:rsidRPr="00E32BDB">
        <w:t>Evidence required to demonstrate the required knowledg</w:t>
      </w:r>
      <w:r w:rsidRPr="00E32BDB">
        <w:t>e for this unit must be relevant to and satisfy the requirements of the elements and performance criteria and include knowledge of:</w:t>
      </w:r>
    </w:p>
    <w:p w:rsidR="00000000" w:rsidRPr="00E32BDB" w:rsidP="00E32BDB">
      <w:pPr>
        <w:pStyle w:val="ListBullet"/>
      </w:pPr>
      <w:r w:rsidRPr="00E32BDB">
        <w:t>safe work practices and procedures and use of personal protective equipment (PPE)</w:t>
      </w:r>
    </w:p>
    <w:p w:rsidR="00000000" w:rsidRPr="00E32BDB" w:rsidP="00E32BDB">
      <w:pPr>
        <w:pStyle w:val="ListBullet"/>
      </w:pPr>
      <w:r w:rsidRPr="00E32BDB">
        <w:t>safe manual handling procedures</w:t>
      </w:r>
    </w:p>
    <w:p w:rsidR="00000000" w:rsidRPr="00E32BDB" w:rsidP="00E32BDB">
      <w:pPr>
        <w:pStyle w:val="ListBullet"/>
      </w:pPr>
      <w:r w:rsidRPr="00E32BDB">
        <w:t>reasons f</w:t>
      </w:r>
      <w:r w:rsidRPr="00E32BDB">
        <w:t>or selecting materials handling equipment</w:t>
      </w:r>
    </w:p>
    <w:p w:rsidR="00000000" w:rsidRPr="00E32BDB" w:rsidP="00E32BDB">
      <w:pPr>
        <w:pStyle w:val="ListBullet"/>
      </w:pPr>
      <w:r w:rsidRPr="00E32BDB">
        <w:t>safe storage and handling procedures for a range of products, including dangerous goods</w:t>
      </w:r>
    </w:p>
    <w:p w:rsidR="00000000" w:rsidRPr="00E32BDB" w:rsidP="00E32BDB">
      <w:pPr>
        <w:pStyle w:val="ListBullet"/>
      </w:pPr>
      <w:r w:rsidRPr="00E32BDB">
        <w:t>product identification systems</w:t>
      </w:r>
    </w:p>
    <w:p w:rsidR="00000000" w:rsidRPr="00E32BDB" w:rsidP="00E32BDB">
      <w:pPr>
        <w:pStyle w:val="ListBullet"/>
      </w:pPr>
      <w:r w:rsidRPr="00E32BDB">
        <w:t>Inventory and documentation requirements</w:t>
      </w:r>
    </w:p>
    <w:p w:rsidR="00000000" w:rsidRPr="00E32BDB" w:rsidP="00E32BDB">
      <w:pPr>
        <w:pStyle w:val="ListBullet"/>
      </w:pPr>
      <w:r w:rsidRPr="00E32BDB">
        <w:t>applicable safety data sheets (SDS).</w:t>
      </w:r>
    </w:p>
    <w:p w:rsidR="00000000" w:rsidRPr="00E32BDB" w:rsidP="00E32BDB">
      <w:pPr>
        <w:pStyle w:val="AllowPageBreak"/>
      </w:pPr>
    </w:p>
    <w:p w:rsidR="00000000" w:rsidRPr="00E32BDB" w:rsidP="00E32BDB">
      <w:pPr>
        <w:pStyle w:val="Heading1"/>
      </w:pPr>
      <w:bookmarkStart w:id="4" w:name="O_950454"/>
      <w:bookmarkEnd w:id="4"/>
      <w:r w:rsidRPr="00E32BDB">
        <w:t>Assessment Conditions</w:t>
      </w:r>
    </w:p>
    <w:p w:rsidR="00000000" w:rsidRPr="00E32BDB" w:rsidP="00E32BDB">
      <w:pPr>
        <w:pStyle w:val="ListBullet"/>
      </w:pPr>
      <w:r w:rsidRPr="00E32BDB">
        <w:t>Assessors must:</w:t>
      </w:r>
    </w:p>
    <w:p w:rsidR="00000000" w:rsidRPr="00E32BDB" w:rsidP="00E32BDB">
      <w:pPr>
        <w:pStyle w:val="ListBullet2"/>
      </w:pPr>
      <w:r w:rsidRPr="00E32BDB">
        <w:t>have vocational competency in picking and processing an order at least to the level being assessed with relevant industry knowledge and experience</w:t>
      </w:r>
    </w:p>
    <w:p w:rsidR="00000000" w:rsidRPr="00E32BDB" w:rsidP="00E32BDB">
      <w:pPr>
        <w:pStyle w:val="ListBullet2"/>
      </w:pPr>
      <w:r w:rsidRPr="00E32BDB">
        <w:t xml:space="preserve">satisfy the assessor requirements in the </w:t>
      </w:r>
      <w:r w:rsidRPr="00E32BDB">
        <w:rPr>
          <w:rStyle w:val="Emphasis"/>
        </w:rPr>
        <w:t>Standards for Registered Tra</w:t>
      </w:r>
      <w:r w:rsidRPr="00E32BDB">
        <w:rPr>
          <w:rStyle w:val="Emphasis"/>
        </w:rPr>
        <w:t xml:space="preserve">ining Organisations 2015 </w:t>
      </w:r>
      <w:r w:rsidRPr="00E32BDB">
        <w:t>or its replacement</w:t>
      </w:r>
      <w:r w:rsidRPr="00E32BDB">
        <w:rPr>
          <w:rStyle w:val="Emphasis"/>
        </w:rPr>
        <w:t xml:space="preserve"> </w:t>
      </w:r>
      <w:r w:rsidRPr="00E32BDB">
        <w:t xml:space="preserve">and comply with the </w:t>
      </w:r>
      <w:r w:rsidRPr="00E32BDB">
        <w:rPr>
          <w:rStyle w:val="Emphasis"/>
        </w:rPr>
        <w:t xml:space="preserve">National Vocational Education and Training Regulator Act 2011, </w:t>
      </w:r>
      <w:r w:rsidRPr="00E32BDB">
        <w:t>its replacement</w:t>
      </w:r>
      <w:r w:rsidRPr="00E32BDB">
        <w:rPr>
          <w:rStyle w:val="Emphasis"/>
        </w:rPr>
        <w:t xml:space="preserve"> </w:t>
      </w:r>
      <w:r w:rsidRPr="00E32BDB">
        <w:t>or equivalent legislation covering VET regulation in a non-referring state/territory as the case requires</w:t>
      </w:r>
    </w:p>
    <w:p w:rsidR="00000000" w:rsidRPr="00E32BDB" w:rsidP="00E32BDB">
      <w:pPr>
        <w:pStyle w:val="ListBullet"/>
      </w:pPr>
      <w:r w:rsidRPr="00E32BDB">
        <w:t xml:space="preserve">Where </w:t>
      </w:r>
      <w:r w:rsidRPr="00E32BDB">
        <w:t>possible assessment must occur in operational workplace situations. Where this is not possible or where personal safety or environmental damage are limiting factors, assessment must occur in a sufficiently rigorous simulated environment that reflects reali</w:t>
      </w:r>
      <w:r w:rsidRPr="00E32BDB">
        <w:t>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E32BDB" w:rsidP="00E32BDB">
      <w:pPr>
        <w:pStyle w:val="ListBullet"/>
      </w:pPr>
      <w:r w:rsidRPr="00E32BDB">
        <w:t>Conditions for assessment must include ac</w:t>
      </w:r>
      <w:r w:rsidRPr="00E32BDB">
        <w:t>cess to all tools, equipment, materials and documentation required, including relevant workplace procedures, product and manufacturing specifications</w:t>
      </w:r>
    </w:p>
    <w:p w:rsidR="00000000" w:rsidRPr="00E32BDB" w:rsidP="00E32BDB">
      <w:pPr>
        <w:pStyle w:val="ListBullet"/>
      </w:pPr>
      <w:r w:rsidRPr="00E32BDB">
        <w:t>Assessment processes and techniques must be appropriate to the language, literacy and numeracy requirement</w:t>
      </w:r>
      <w:r w:rsidRPr="00E32BDB">
        <w:t>s of the work being performed and the needs of the candidate.</w:t>
      </w:r>
    </w:p>
    <w:p w:rsidR="00000000" w:rsidRPr="00E32BDB" w:rsidP="00E32BDB">
      <w:pPr>
        <w:pStyle w:val="AllowPageBreak"/>
      </w:pPr>
    </w:p>
    <w:p w:rsidR="00000000" w:rsidRPr="00E32BDB" w:rsidP="00E32BDB">
      <w:pPr>
        <w:pStyle w:val="Heading1"/>
      </w:pPr>
      <w:bookmarkStart w:id="5" w:name="O_950452"/>
      <w:bookmarkEnd w:id="5"/>
      <w:r w:rsidRPr="00E32BDB">
        <w:t>Links</w:t>
      </w:r>
    </w:p>
    <w:p w:rsidR="00000000" w:rsidRPr="00E32BDB" w:rsidP="004A18A6">
      <w:pPr>
        <w:pStyle w:val="BodyText"/>
      </w:pPr>
      <w:r w:rsidRPr="00E32B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E4D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32BDB" w:rsidP="00E32BDB"/>
    <w:sectPr w:rsidSect="00E32B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DB" w:rsidRPr="004A18A6" w:rsidP="004A1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A6" w:rsidP="00E32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18A6" w:rsidP="00E32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18A6" w:rsidP="00E32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BDB" w:rsidRPr="004A18A6" w:rsidP="004A1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A6" w:rsidRPr="002D2AF8" w:rsidP="00E32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MEM11005 Pick and process order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A18A6" w:rsidP="00E32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308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D68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B25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BDB"/>
  </w:style>
  <w:style w:type="character" w:customStyle="1" w:styleId="Heading1Char">
    <w:name w:val="Heading 1 Char"/>
    <w:basedOn w:val="DefaultParagraphFont"/>
    <w:link w:val="Heading1"/>
    <w:rsid w:val="00E32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B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2B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2BDB"/>
    <w:rPr>
      <w:i/>
    </w:rPr>
  </w:style>
  <w:style w:type="paragraph" w:customStyle="1" w:styleId="SuperHeading">
    <w:name w:val="SuperHeading"/>
    <w:basedOn w:val="Normal"/>
    <w:rsid w:val="00E32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2BDB"/>
    <w:rPr>
      <w:b/>
      <w:spacing w:val="0"/>
    </w:rPr>
  </w:style>
  <w:style w:type="paragraph" w:customStyle="1" w:styleId="SuperTitle">
    <w:name w:val="SuperTitle"/>
    <w:basedOn w:val="Title"/>
    <w:rsid w:val="00E32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B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BDB"/>
  </w:style>
  <w:style w:type="paragraph" w:styleId="TableofFigures">
    <w:name w:val="table of figures"/>
    <w:basedOn w:val="Normal"/>
    <w:next w:val="Normal"/>
    <w:semiHidden/>
    <w:rsid w:val="00E32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B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BDB"/>
    <w:rPr>
      <w:rFonts w:ascii="Wingdings" w:hAnsi="Wingdings"/>
    </w:rPr>
  </w:style>
  <w:style w:type="paragraph" w:customStyle="1" w:styleId="TableHeading">
    <w:name w:val="Table Heading"/>
    <w:basedOn w:val="HeadingBase"/>
    <w:rsid w:val="00E32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BDB"/>
    <w:rPr>
      <w:color w:val="0033CC"/>
      <w:u w:val="none"/>
    </w:rPr>
  </w:style>
  <w:style w:type="paragraph" w:customStyle="1" w:styleId="BodyTextRight">
    <w:name w:val="Body Text Right"/>
    <w:basedOn w:val="BodyText"/>
    <w:rsid w:val="00E32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B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BDB"/>
    <w:rPr>
      <w:sz w:val="32"/>
    </w:rPr>
  </w:style>
  <w:style w:type="paragraph" w:customStyle="1" w:styleId="HeadingProcedure">
    <w:name w:val="Heading Procedure"/>
    <w:basedOn w:val="HeadingBase"/>
    <w:next w:val="Normal"/>
    <w:rsid w:val="00E32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BDB"/>
    <w:pPr>
      <w:spacing w:before="60" w:after="60"/>
    </w:pPr>
  </w:style>
  <w:style w:type="paragraph" w:styleId="ListContinue">
    <w:name w:val="List Continue"/>
    <w:basedOn w:val="List"/>
    <w:rsid w:val="00E32BDB"/>
    <w:pPr>
      <w:ind w:firstLine="0"/>
    </w:pPr>
  </w:style>
  <w:style w:type="paragraph" w:customStyle="1" w:styleId="ListNote">
    <w:name w:val="List Note"/>
    <w:basedOn w:val="List"/>
    <w:rsid w:val="00E32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BDB"/>
    <w:rPr>
      <w:rFonts w:ascii="Courier New" w:hAnsi="Courier New"/>
    </w:rPr>
  </w:style>
  <w:style w:type="paragraph" w:customStyle="1" w:styleId="NoteBullet">
    <w:name w:val="Note Bullet"/>
    <w:basedOn w:val="Note"/>
    <w:rsid w:val="00E32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B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BDB"/>
    <w:rPr>
      <w:b/>
      <w:smallCaps/>
    </w:rPr>
  </w:style>
  <w:style w:type="paragraph" w:customStyle="1" w:styleId="TableListNumber">
    <w:name w:val="Table List Number"/>
    <w:basedOn w:val="ListNumber"/>
    <w:rsid w:val="00E32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BDB"/>
    <w:pPr>
      <w:numPr>
        <w:numId w:val="9"/>
      </w:numPr>
    </w:pPr>
  </w:style>
  <w:style w:type="paragraph" w:customStyle="1" w:styleId="ListAlpha2">
    <w:name w:val="List Alpha 2"/>
    <w:basedOn w:val="List2"/>
    <w:rsid w:val="00E32BDB"/>
    <w:pPr>
      <w:numPr>
        <w:numId w:val="8"/>
      </w:numPr>
    </w:pPr>
  </w:style>
  <w:style w:type="paragraph" w:styleId="List2">
    <w:name w:val="List 2"/>
    <w:basedOn w:val="BodyText"/>
    <w:rsid w:val="00E32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B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B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BDB"/>
    <w:pPr>
      <w:numPr>
        <w:numId w:val="4"/>
      </w:numPr>
    </w:pPr>
  </w:style>
  <w:style w:type="paragraph" w:styleId="ListContinue2">
    <w:name w:val="List Continue 2"/>
    <w:basedOn w:val="List2"/>
    <w:rsid w:val="00E32BDB"/>
    <w:pPr>
      <w:ind w:firstLine="0"/>
    </w:pPr>
  </w:style>
  <w:style w:type="paragraph" w:styleId="ListContinue3">
    <w:name w:val="List Continue 3"/>
    <w:basedOn w:val="List3"/>
    <w:rsid w:val="00E32BDB"/>
    <w:pPr>
      <w:ind w:left="1021" w:firstLine="0"/>
    </w:pPr>
  </w:style>
  <w:style w:type="paragraph" w:styleId="ListContinue4">
    <w:name w:val="List Continue 4"/>
    <w:basedOn w:val="List4"/>
    <w:rsid w:val="00E32BDB"/>
    <w:pPr>
      <w:ind w:firstLine="0"/>
    </w:pPr>
  </w:style>
  <w:style w:type="paragraph" w:styleId="ListContinue5">
    <w:name w:val="List Continue 5"/>
    <w:basedOn w:val="List5"/>
    <w:rsid w:val="00E32BDB"/>
    <w:pPr>
      <w:ind w:firstLine="0"/>
    </w:pPr>
  </w:style>
  <w:style w:type="paragraph" w:styleId="ListNumber3">
    <w:name w:val="List Number 3"/>
    <w:basedOn w:val="List3"/>
    <w:rsid w:val="00E32BDB"/>
    <w:pPr>
      <w:numPr>
        <w:numId w:val="5"/>
      </w:numPr>
    </w:pPr>
  </w:style>
  <w:style w:type="paragraph" w:styleId="ListNumber4">
    <w:name w:val="List Number 4"/>
    <w:basedOn w:val="List4"/>
    <w:rsid w:val="00E32BDB"/>
    <w:pPr>
      <w:numPr>
        <w:numId w:val="6"/>
      </w:numPr>
    </w:pPr>
  </w:style>
  <w:style w:type="paragraph" w:styleId="ListNumber5">
    <w:name w:val="List Number 5"/>
    <w:basedOn w:val="List5"/>
    <w:rsid w:val="00E32BDB"/>
    <w:pPr>
      <w:numPr>
        <w:numId w:val="7"/>
      </w:numPr>
    </w:pPr>
  </w:style>
  <w:style w:type="paragraph" w:styleId="BlockText">
    <w:name w:val="Block Text"/>
    <w:basedOn w:val="Normal"/>
    <w:rsid w:val="00E32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BDB"/>
    <w:rPr>
      <w:sz w:val="16"/>
      <w:vertAlign w:val="superscript"/>
    </w:rPr>
  </w:style>
  <w:style w:type="character" w:customStyle="1" w:styleId="Symbols">
    <w:name w:val="Symbols"/>
    <w:basedOn w:val="DefaultParagraphFont"/>
    <w:rsid w:val="00E32BDB"/>
    <w:rPr>
      <w:rFonts w:ascii="Symbol" w:hAnsi="Symbol"/>
    </w:rPr>
  </w:style>
  <w:style w:type="character" w:customStyle="1" w:styleId="MenuOptions">
    <w:name w:val="Menu Options"/>
    <w:basedOn w:val="DefaultParagraphFont"/>
    <w:rsid w:val="00E32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BDB"/>
    <w:rPr>
      <w:b/>
    </w:rPr>
  </w:style>
  <w:style w:type="character" w:customStyle="1" w:styleId="Underlined">
    <w:name w:val="Underlined"/>
    <w:basedOn w:val="DefaultParagraphFont"/>
    <w:rsid w:val="00E32BDB"/>
    <w:rPr>
      <w:u w:val="single"/>
    </w:rPr>
  </w:style>
  <w:style w:type="paragraph" w:customStyle="1" w:styleId="TableBodyTextRight">
    <w:name w:val="Table Body Text Right"/>
    <w:basedOn w:val="TableBodyText"/>
    <w:rsid w:val="00E32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BDB"/>
    <w:rPr>
      <w:sz w:val="18"/>
    </w:rPr>
  </w:style>
  <w:style w:type="paragraph" w:customStyle="1" w:styleId="BodySmallRight">
    <w:name w:val="Body Small Right"/>
    <w:basedOn w:val="BodyTextRight"/>
    <w:rsid w:val="00E32BDB"/>
    <w:rPr>
      <w:sz w:val="18"/>
      <w:szCs w:val="18"/>
    </w:rPr>
  </w:style>
  <w:style w:type="paragraph" w:customStyle="1" w:styleId="MarginEdition">
    <w:name w:val="Margin Edition"/>
    <w:basedOn w:val="MarginNote"/>
    <w:rsid w:val="00E32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BDB"/>
    <w:rPr>
      <w:sz w:val="2"/>
      <w:szCs w:val="2"/>
    </w:rPr>
  </w:style>
  <w:style w:type="character" w:customStyle="1" w:styleId="Small">
    <w:name w:val="Small"/>
    <w:basedOn w:val="DefaultParagraphFont"/>
    <w:rsid w:val="00E32BDB"/>
    <w:rPr>
      <w:sz w:val="16"/>
    </w:rPr>
  </w:style>
  <w:style w:type="paragraph" w:customStyle="1" w:styleId="WideTable">
    <w:name w:val="Wide Table"/>
    <w:basedOn w:val="Normal"/>
    <w:rsid w:val="00E32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BDB"/>
  </w:style>
  <w:style w:type="paragraph" w:styleId="Quote">
    <w:name w:val="Quote"/>
    <w:basedOn w:val="Heading1"/>
    <w:link w:val="QuoteChar"/>
    <w:qFormat/>
    <w:rsid w:val="00E32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BDB"/>
    <w:pPr>
      <w:pageBreakBefore/>
    </w:pPr>
  </w:style>
  <w:style w:type="paragraph" w:customStyle="1" w:styleId="Border">
    <w:name w:val="Border"/>
    <w:basedOn w:val="Normal"/>
    <w:qFormat/>
    <w:rsid w:val="00E32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BDB"/>
    <w:rPr>
      <w:u w:val="single"/>
    </w:rPr>
  </w:style>
  <w:style w:type="character" w:customStyle="1" w:styleId="BoldandItalics">
    <w:name w:val="Bold and Italics"/>
    <w:qFormat/>
    <w:rsid w:val="00E32BDB"/>
    <w:rPr>
      <w:b/>
      <w:i/>
      <w:u w:val="none"/>
    </w:rPr>
  </w:style>
  <w:style w:type="paragraph" w:styleId="BalloonText">
    <w:name w:val="Balloon Text"/>
    <w:basedOn w:val="Normal"/>
    <w:link w:val="BalloonTextChar"/>
    <w:rsid w:val="00E32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BDB"/>
    <w:pPr>
      <w:spacing w:before="0" w:after="0"/>
    </w:pPr>
  </w:style>
  <w:style w:type="paragraph" w:customStyle="1" w:styleId="BodyTextBold">
    <w:name w:val="Body Text Bold"/>
    <w:basedOn w:val="BodyText"/>
    <w:qFormat/>
    <w:rsid w:val="00E32BDB"/>
    <w:rPr>
      <w:b/>
    </w:rPr>
  </w:style>
  <w:style w:type="character" w:styleId="Hyperlink">
    <w:name w:val="Hyperlink"/>
    <w:basedOn w:val="DefaultParagraphFont"/>
    <w:uiPriority w:val="99"/>
    <w:unhideWhenUsed/>
    <w:rsid w:val="004A1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2615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MEM11005 Pick and process order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