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4456" w:rsidP="00F94456">
      <w:pPr>
        <w:pStyle w:val="Title"/>
      </w:pPr>
      <w:r>
        <w:fldChar w:fldCharType="begin"/>
      </w:r>
      <w:r>
        <w:instrText xml:space="preserve"> TITLE   \* MERGEFORMAT </w:instrText>
      </w:r>
      <w:r>
        <w:fldChar w:fldCharType="separate"/>
      </w:r>
      <w:r>
        <w:t>MEM11004 Undertake dogging</w:t>
      </w:r>
      <w:r>
        <w:fldChar w:fldCharType="end"/>
      </w:r>
    </w:p>
    <w:p w:rsidR="00F94456" w:rsidP="00F94456">
      <w:pPr>
        <w:pStyle w:val="Version"/>
        <w:sectPr w:rsidSect="00F8672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6727" w:rsidP="00F86727">
      <w:pPr>
        <w:pStyle w:val="SuperHeading"/>
      </w:pPr>
      <w:r w:rsidRPr="00F86727">
        <w:t>MEM11004 Undertake dogging</w:t>
      </w:r>
    </w:p>
    <w:p w:rsidR="00000000" w:rsidRPr="00F86727" w:rsidP="00F86727">
      <w:pPr>
        <w:pStyle w:val="Heading1"/>
      </w:pPr>
      <w:bookmarkStart w:id="1" w:name="O_950438"/>
      <w:bookmarkEnd w:id="1"/>
      <w:r w:rsidRPr="00F86727">
        <w:t>Modification History</w:t>
      </w:r>
    </w:p>
    <w:p w:rsidR="00000000" w:rsidRPr="00F86727" w:rsidP="00F94456">
      <w:pPr>
        <w:pStyle w:val="BodyText"/>
      </w:pPr>
      <w:r w:rsidRPr="00F86727">
        <w:t xml:space="preserve">Release 1. Supersedes and is equivalent to MEM11004B Undertake dogging </w:t>
      </w:r>
    </w:p>
    <w:p w:rsidR="00000000" w:rsidRPr="00F86727" w:rsidP="00F86727">
      <w:pPr>
        <w:pStyle w:val="Heading1"/>
      </w:pPr>
      <w:bookmarkStart w:id="2" w:name="O_950446"/>
      <w:bookmarkEnd w:id="2"/>
      <w:r w:rsidRPr="00F86727">
        <w:t>Application</w:t>
      </w:r>
    </w:p>
    <w:p w:rsidR="00000000" w:rsidRPr="00F86727" w:rsidP="00F94456">
      <w:pPr>
        <w:pStyle w:val="BodyText"/>
      </w:pPr>
      <w:r w:rsidRPr="00F86727">
        <w:t>This unit of competency defines the skills and knowledge required to attach slings to loads and move loads using appropriate communica</w:t>
      </w:r>
      <w:r w:rsidRPr="00F86727">
        <w:t>tion and signalling methods with a crane driver in a workshop or on-site.</w:t>
      </w:r>
    </w:p>
    <w:p w:rsidR="00000000" w:rsidRPr="00F86727" w:rsidP="00F94456">
      <w:pPr>
        <w:pStyle w:val="BodyText"/>
      </w:pPr>
      <w:r w:rsidRPr="00F86727">
        <w:t>This unit is not intended to apply to machine loading and simple straight lifts where knowledge of codes and signals is not required.</w:t>
      </w:r>
    </w:p>
    <w:p w:rsidR="00000000" w:rsidRPr="00F86727" w:rsidP="00F94456">
      <w:pPr>
        <w:pStyle w:val="BodyText"/>
      </w:pPr>
      <w:r w:rsidRPr="00F86727">
        <w:t>Depending on the equipment being used a high r</w:t>
      </w:r>
      <w:r w:rsidRPr="00F86727">
        <w:t>isk work licence may be required and users should check with the relevant authorities.</w:t>
      </w:r>
    </w:p>
    <w:p w:rsidR="00000000" w:rsidRPr="00F86727" w:rsidP="00F86727">
      <w:pPr>
        <w:pStyle w:val="BodyText"/>
      </w:pPr>
      <w:r w:rsidRPr="00F86727">
        <w:rPr>
          <w:rStyle w:val="SpecialBold"/>
        </w:rPr>
        <w:t>Band</w:t>
      </w:r>
      <w:r w:rsidRPr="00F86727">
        <w:t>:</w:t>
      </w:r>
      <w:r w:rsidRPr="00F86727">
        <w:tab/>
      </w:r>
      <w:r w:rsidRPr="00F86727">
        <w:rPr>
          <w:rStyle w:val="SpecialBold"/>
        </w:rPr>
        <w:t>A</w:t>
      </w:r>
    </w:p>
    <w:p w:rsidR="00000000" w:rsidRPr="00F86727" w:rsidP="00F86727">
      <w:pPr>
        <w:pStyle w:val="BodyText"/>
      </w:pPr>
      <w:r w:rsidRPr="00F86727">
        <w:rPr>
          <w:rStyle w:val="SpecialBold"/>
        </w:rPr>
        <w:t>Unit Weight</w:t>
      </w:r>
      <w:r w:rsidRPr="00F86727">
        <w:t>:</w:t>
      </w:r>
      <w:r w:rsidRPr="00F86727">
        <w:tab/>
      </w:r>
      <w:r w:rsidRPr="00F86727">
        <w:rPr>
          <w:rStyle w:val="SpecialBold"/>
        </w:rPr>
        <w:t>4</w:t>
      </w:r>
    </w:p>
    <w:p w:rsidR="00000000" w:rsidRPr="00F86727" w:rsidP="00F86727">
      <w:pPr>
        <w:pStyle w:val="AllowPageBreak"/>
      </w:pPr>
    </w:p>
    <w:p w:rsidR="00000000" w:rsidRPr="00F86727" w:rsidP="00F86727">
      <w:pPr>
        <w:pStyle w:val="Heading1"/>
      </w:pPr>
      <w:bookmarkStart w:id="3" w:name="O_950445"/>
      <w:bookmarkEnd w:id="3"/>
      <w:r w:rsidRPr="00F86727">
        <w:t>Pre-requisite Unit</w:t>
      </w:r>
    </w:p>
    <w:tbl>
      <w:tblPr>
        <w:tblW w:w="9288" w:type="dxa"/>
        <w:tblLayout w:type="fixed"/>
        <w:tblCellMar>
          <w:left w:w="62" w:type="dxa"/>
          <w:right w:w="62" w:type="dxa"/>
        </w:tblCellMar>
        <w:tblLook w:val="0000"/>
      </w:tblPr>
      <w:tblGrid>
        <w:gridCol w:w="1762"/>
        <w:gridCol w:w="7526"/>
      </w:tblGrid>
      <w:tr w:rsidTr="00F86727">
        <w:tblPrEx>
          <w:tblW w:w="9288" w:type="dxa"/>
          <w:tblLayout w:type="fixed"/>
          <w:tblCellMar>
            <w:left w:w="62" w:type="dxa"/>
            <w:right w:w="62" w:type="dxa"/>
          </w:tblCellMar>
          <w:tblLook w:val="0000"/>
        </w:tblPrEx>
        <w:tc>
          <w:tcPr>
            <w:tcW w:w="1762" w:type="dxa"/>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t>MEM11011</w:t>
            </w:r>
          </w:p>
        </w:tc>
        <w:tc>
          <w:tcPr>
            <w:tcW w:w="7526" w:type="dxa"/>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t>Undertake manual handling</w:t>
            </w:r>
          </w:p>
        </w:tc>
      </w:tr>
      <w:tr w:rsidTr="00F86727">
        <w:tblPrEx>
          <w:tblW w:w="9288" w:type="dxa"/>
          <w:tblLayout w:type="fixed"/>
          <w:tblCellMar>
            <w:left w:w="62" w:type="dxa"/>
            <w:right w:w="62" w:type="dxa"/>
          </w:tblCellMar>
          <w:tblLook w:val="0000"/>
        </w:tblPrEx>
        <w:tc>
          <w:tcPr>
            <w:tcW w:w="1762" w:type="dxa"/>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t>MEM13015</w:t>
            </w:r>
          </w:p>
        </w:tc>
        <w:tc>
          <w:tcPr>
            <w:tcW w:w="7526" w:type="dxa"/>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t>Work safely and effectively in manufacturing and engineering</w:t>
            </w:r>
          </w:p>
        </w:tc>
      </w:tr>
      <w:tr w:rsidTr="00F86727">
        <w:tblPrEx>
          <w:tblW w:w="9288" w:type="dxa"/>
          <w:tblLayout w:type="fixed"/>
          <w:tblCellMar>
            <w:left w:w="62" w:type="dxa"/>
            <w:right w:w="62" w:type="dxa"/>
          </w:tblCellMar>
          <w:tblLook w:val="0000"/>
        </w:tblPrEx>
        <w:tc>
          <w:tcPr>
            <w:tcW w:w="1762" w:type="dxa"/>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t>MEM16006</w:t>
            </w:r>
          </w:p>
        </w:tc>
        <w:tc>
          <w:tcPr>
            <w:tcW w:w="7526" w:type="dxa"/>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t>Organise and communicate information</w:t>
            </w:r>
          </w:p>
        </w:tc>
      </w:tr>
      <w:tr w:rsidTr="00F86727">
        <w:tblPrEx>
          <w:tblW w:w="9288" w:type="dxa"/>
          <w:tblLayout w:type="fixed"/>
          <w:tblCellMar>
            <w:left w:w="62" w:type="dxa"/>
            <w:right w:w="62" w:type="dxa"/>
          </w:tblCellMar>
          <w:tblLook w:val="0000"/>
        </w:tblPrEx>
        <w:tc>
          <w:tcPr>
            <w:tcW w:w="1762" w:type="dxa"/>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t>MEM18001</w:t>
            </w:r>
          </w:p>
        </w:tc>
        <w:tc>
          <w:tcPr>
            <w:tcW w:w="7526" w:type="dxa"/>
            <w:tcBorders>
              <w:top w:val="nil"/>
              <w:left w:val="nil"/>
              <w:bottom w:val="nil"/>
              <w:right w:val="nil"/>
            </w:tcBorders>
            <w:tcMar>
              <w:top w:w="0" w:type="dxa"/>
              <w:left w:w="62" w:type="dxa"/>
              <w:bottom w:w="0" w:type="dxa"/>
              <w:right w:w="62" w:type="dxa"/>
            </w:tcMar>
          </w:tcPr>
          <w:p w:rsidR="00000000" w:rsidRPr="00F86727" w:rsidP="00F86727">
            <w:pPr>
              <w:pStyle w:val="BodyText"/>
            </w:pPr>
            <w:r w:rsidRPr="00F86727">
              <w:t>Use hand tools</w:t>
            </w:r>
          </w:p>
        </w:tc>
      </w:tr>
    </w:tbl>
    <w:p w:rsidR="00000000" w:rsidRPr="00F86727" w:rsidP="00F86727">
      <w:pPr>
        <w:pStyle w:val="BodyText"/>
      </w:pPr>
    </w:p>
    <w:p w:rsidR="00000000" w:rsidRPr="00F86727" w:rsidP="00F86727">
      <w:pPr>
        <w:pStyle w:val="AllowPageBreak"/>
      </w:pPr>
    </w:p>
    <w:p w:rsidR="00000000" w:rsidRPr="00F86727" w:rsidP="00F86727">
      <w:pPr>
        <w:pStyle w:val="Heading1"/>
      </w:pPr>
      <w:bookmarkStart w:id="4" w:name="O_950444"/>
      <w:bookmarkEnd w:id="4"/>
      <w:r w:rsidRPr="00F86727">
        <w:t>Competency Field</w:t>
      </w:r>
    </w:p>
    <w:p w:rsidR="00000000" w:rsidRPr="00F86727" w:rsidP="00F94456">
      <w:pPr>
        <w:pStyle w:val="BodyText"/>
      </w:pPr>
      <w:r w:rsidRPr="00F86727">
        <w:t>Materials handling</w:t>
      </w:r>
    </w:p>
    <w:p w:rsidR="00000000" w:rsidRPr="00F86727" w:rsidP="00F86727">
      <w:pPr>
        <w:pStyle w:val="Heading1"/>
      </w:pPr>
      <w:bookmarkStart w:id="5" w:name="O_950442"/>
      <w:bookmarkEnd w:id="5"/>
      <w:r w:rsidRPr="00F86727">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F86727">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t>Performance criteria describe the pe</w:t>
            </w:r>
            <w:r w:rsidRPr="00F86727">
              <w:t>rformance needed to demonstrate achievement of the element.</w:t>
            </w:r>
          </w:p>
        </w:tc>
      </w:tr>
      <w:tr w:rsidTr="00F8672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F86727" w:rsidP="00F86727">
            <w:pPr>
              <w:pStyle w:val="BodyText"/>
            </w:pPr>
            <w:r w:rsidRPr="00F86727">
              <w:t>1</w:t>
            </w:r>
          </w:p>
        </w:tc>
        <w:tc>
          <w:tcPr>
            <w:tcW w:w="1986" w:type="dxa"/>
            <w:vMerge w:val="restart"/>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rPr>
                <w:rStyle w:val="SpecialBold"/>
              </w:rPr>
              <w:t>Determine job requirements</w:t>
            </w:r>
          </w:p>
        </w:tc>
        <w:tc>
          <w:tcPr>
            <w:tcW w:w="779" w:type="dxa"/>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t>1.1</w:t>
            </w:r>
          </w:p>
        </w:tc>
        <w:tc>
          <w:tcPr>
            <w:tcW w:w="5678" w:type="dxa"/>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t>Follow standard operating procedures (SOPs)</w:t>
            </w:r>
          </w:p>
        </w:tc>
      </w:tr>
      <w:tr w:rsidTr="00F8672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t>1.2</w:t>
            </w:r>
          </w:p>
        </w:tc>
        <w:tc>
          <w:tcPr>
            <w:tcW w:w="5678" w:type="dxa"/>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t>Comply with work health and safety (WHS) requirements at all times</w:t>
            </w:r>
          </w:p>
        </w:tc>
      </w:tr>
      <w:tr w:rsidTr="00F8672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t>1.3</w:t>
            </w:r>
          </w:p>
        </w:tc>
        <w:tc>
          <w:tcPr>
            <w:tcW w:w="5678" w:type="dxa"/>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t>Use appropriate personal protective equipment (PPE) in accordance with SOPs</w:t>
            </w:r>
          </w:p>
        </w:tc>
      </w:tr>
      <w:tr w:rsidTr="00F8672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t>1.4</w:t>
            </w:r>
          </w:p>
        </w:tc>
        <w:tc>
          <w:tcPr>
            <w:tcW w:w="5678" w:type="dxa"/>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t>Identify job requirements from specifications, job sheets or work instructions</w:t>
            </w:r>
          </w:p>
        </w:tc>
      </w:tr>
      <w:tr w:rsidTr="00F86727">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F86727">
            <w:pPr>
              <w:pStyle w:val="BodyText"/>
              <w:rPr>
                <w:lang w:val="en-NZ"/>
              </w:rPr>
            </w:pPr>
          </w:p>
        </w:tc>
      </w:tr>
      <w:tr w:rsidTr="00F8672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F86727" w:rsidP="00F86727">
            <w:pPr>
              <w:pStyle w:val="BodyText"/>
            </w:pPr>
            <w:r w:rsidRPr="00F86727">
              <w:t>2</w:t>
            </w:r>
          </w:p>
        </w:tc>
        <w:tc>
          <w:tcPr>
            <w:tcW w:w="1986" w:type="dxa"/>
            <w:vMerge w:val="restart"/>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rPr>
                <w:rStyle w:val="SpecialBold"/>
              </w:rPr>
              <w:t>Attach lifting gear to loads</w:t>
            </w:r>
          </w:p>
        </w:tc>
        <w:tc>
          <w:tcPr>
            <w:tcW w:w="779" w:type="dxa"/>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t>2.1</w:t>
            </w:r>
          </w:p>
        </w:tc>
        <w:tc>
          <w:tcPr>
            <w:tcW w:w="5678" w:type="dxa"/>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t>Identify potential hazards associated with the use of cranes and other load shifting equipment and plan measures to eliminate or control these hazards</w:t>
            </w:r>
          </w:p>
        </w:tc>
      </w:tr>
      <w:tr w:rsidTr="00F8672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t>2.2</w:t>
            </w:r>
          </w:p>
        </w:tc>
        <w:tc>
          <w:tcPr>
            <w:tcW w:w="5678" w:type="dxa"/>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t>Obtain site information, as necessary</w:t>
            </w:r>
          </w:p>
        </w:tc>
      </w:tr>
      <w:tr w:rsidTr="00F8672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t>2.3</w:t>
            </w:r>
          </w:p>
        </w:tc>
        <w:tc>
          <w:tcPr>
            <w:tcW w:w="5678" w:type="dxa"/>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t>Inspect load and determine best lifting method</w:t>
            </w:r>
          </w:p>
        </w:tc>
      </w:tr>
      <w:tr w:rsidTr="00F8672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t>2.4</w:t>
            </w:r>
          </w:p>
        </w:tc>
        <w:tc>
          <w:tcPr>
            <w:tcW w:w="5678" w:type="dxa"/>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t>Select load shifting equipment appropriate to load</w:t>
            </w:r>
          </w:p>
        </w:tc>
      </w:tr>
      <w:tr w:rsidTr="00F8672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t>2.5</w:t>
            </w:r>
          </w:p>
        </w:tc>
        <w:tc>
          <w:tcPr>
            <w:tcW w:w="5678" w:type="dxa"/>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t>Inspect lifting gear and label and reject damaged or worn items</w:t>
            </w:r>
          </w:p>
        </w:tc>
      </w:tr>
      <w:tr w:rsidTr="00F8672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t>2.6</w:t>
            </w:r>
          </w:p>
        </w:tc>
        <w:tc>
          <w:tcPr>
            <w:tcW w:w="5678" w:type="dxa"/>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t>Calculate safe working loads to Australian Standards, as appropriate</w:t>
            </w:r>
          </w:p>
        </w:tc>
      </w:tr>
      <w:tr w:rsidTr="00F8672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t>2.7</w:t>
            </w:r>
          </w:p>
        </w:tc>
        <w:tc>
          <w:tcPr>
            <w:tcW w:w="5678" w:type="dxa"/>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t>Attach lifting gear to load in most appropriate an</w:t>
            </w:r>
            <w:r w:rsidRPr="00F86727">
              <w:t>d safe manner and to specifications, as required</w:t>
            </w:r>
          </w:p>
        </w:tc>
      </w:tr>
      <w:tr w:rsidTr="00F86727">
        <w:tblPrEx>
          <w:tblW w:w="0" w:type="auto"/>
          <w:tblLayout w:type="fixed"/>
          <w:tblCellMar>
            <w:left w:w="62" w:type="dxa"/>
            <w:right w:w="62" w:type="dxa"/>
          </w:tblCellMar>
          <w:tblLook w:val="0000"/>
        </w:tblPrEx>
        <w:tc>
          <w:tcPr>
            <w:tcW w:w="9129" w:type="dxa"/>
            <w:gridSpan w:val="4"/>
            <w:tcBorders>
              <w:top w:val="nil"/>
              <w:left w:val="nil"/>
              <w:bottom w:val="nil"/>
              <w:right w:val="nil"/>
            </w:tcBorders>
            <w:tcMar>
              <w:top w:w="0" w:type="dxa"/>
              <w:left w:w="62" w:type="dxa"/>
              <w:bottom w:w="0" w:type="dxa"/>
              <w:right w:w="62" w:type="dxa"/>
            </w:tcMar>
          </w:tcPr>
          <w:p w:rsidR="00000000" w:rsidP="00F86727">
            <w:pPr>
              <w:pStyle w:val="BodyText"/>
              <w:rPr>
                <w:lang w:val="en-NZ"/>
              </w:rPr>
            </w:pPr>
          </w:p>
        </w:tc>
      </w:tr>
      <w:tr w:rsidTr="00F8672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F86727" w:rsidP="00F86727">
            <w:pPr>
              <w:pStyle w:val="BodyText"/>
            </w:pPr>
            <w:r w:rsidRPr="00F86727">
              <w:t>3</w:t>
            </w:r>
          </w:p>
        </w:tc>
        <w:tc>
          <w:tcPr>
            <w:tcW w:w="1986" w:type="dxa"/>
            <w:vMerge w:val="restart"/>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rPr>
                <w:rStyle w:val="SpecialBold"/>
              </w:rPr>
              <w:t>Move loads</w:t>
            </w:r>
          </w:p>
        </w:tc>
        <w:tc>
          <w:tcPr>
            <w:tcW w:w="779" w:type="dxa"/>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t>3.1</w:t>
            </w:r>
          </w:p>
        </w:tc>
        <w:tc>
          <w:tcPr>
            <w:tcW w:w="5678" w:type="dxa"/>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t>Perform load moving to acceptable safe working practices, Australian Standards, codes of practice and specifications</w:t>
            </w:r>
          </w:p>
        </w:tc>
      </w:tr>
      <w:tr w:rsidTr="00F8672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t>3.2</w:t>
            </w:r>
          </w:p>
        </w:tc>
        <w:tc>
          <w:tcPr>
            <w:tcW w:w="5678" w:type="dxa"/>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t>Connect lifting gear to load shifting equipment using safe and appropriate techniques</w:t>
            </w:r>
          </w:p>
        </w:tc>
      </w:tr>
      <w:tr w:rsidTr="00F8672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t>3.3</w:t>
            </w:r>
          </w:p>
        </w:tc>
        <w:tc>
          <w:tcPr>
            <w:tcW w:w="5678" w:type="dxa"/>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t>Use communication and signalling methods to coordinate the load movement in a safe manner</w:t>
            </w:r>
          </w:p>
        </w:tc>
      </w:tr>
      <w:tr w:rsidTr="00F8672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t>3.4</w:t>
            </w:r>
          </w:p>
        </w:tc>
        <w:tc>
          <w:tcPr>
            <w:tcW w:w="5678" w:type="dxa"/>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t>Ground load or put down in accordance with prescribed procedure, in a safe and stable manner</w:t>
            </w:r>
          </w:p>
        </w:tc>
      </w:tr>
      <w:tr w:rsidTr="00F86727">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t>3.5</w:t>
            </w:r>
          </w:p>
        </w:tc>
        <w:tc>
          <w:tcPr>
            <w:tcW w:w="5678" w:type="dxa"/>
            <w:tcBorders>
              <w:top w:val="nil"/>
              <w:left w:val="nil"/>
              <w:bottom w:val="nil"/>
              <w:right w:val="nil"/>
            </w:tcBorders>
            <w:tcMar>
              <w:top w:w="0" w:type="dxa"/>
              <w:left w:w="62" w:type="dxa"/>
              <w:bottom w:w="0" w:type="dxa"/>
              <w:right w:w="62" w:type="dxa"/>
            </w:tcMar>
          </w:tcPr>
          <w:p w:rsidR="00000000" w:rsidRPr="00F86727" w:rsidP="00F86727">
            <w:pPr>
              <w:pStyle w:val="BodyText"/>
            </w:pPr>
            <w:r w:rsidRPr="00F86727">
              <w:t xml:space="preserve">Detach all lifting gear from load mover and load </w:t>
            </w:r>
          </w:p>
        </w:tc>
      </w:tr>
    </w:tbl>
    <w:p w:rsidR="00F94456" w:rsidP="00F86727">
      <w:pPr>
        <w:pStyle w:val="BodyText"/>
      </w:pPr>
    </w:p>
    <w:p w:rsidR="00F94456" w:rsidP="00F86727">
      <w:pPr>
        <w:pStyle w:val="BodyText"/>
      </w:pPr>
    </w:p>
    <w:p w:rsidR="00000000" w:rsidRPr="00F86727" w:rsidP="00F86727">
      <w:pPr>
        <w:pStyle w:val="Heading1"/>
      </w:pPr>
      <w:bookmarkStart w:id="6" w:name="O_950441"/>
      <w:bookmarkEnd w:id="6"/>
      <w:r w:rsidRPr="00F86727">
        <w:t>Foundation Skills</w:t>
      </w:r>
    </w:p>
    <w:p w:rsidR="00000000" w:rsidRPr="00F86727" w:rsidP="00F94456">
      <w:pPr>
        <w:pStyle w:val="BodyText"/>
      </w:pPr>
      <w:r w:rsidRPr="00F86727">
        <w:t>This section describes those required skills (reading, writing, oral</w:t>
      </w:r>
      <w:r w:rsidRPr="00F86727">
        <w:t xml:space="preserve"> communication and numeracy) that are essential to workplace performance in this unit of competency.  </w:t>
      </w:r>
    </w:p>
    <w:p w:rsidR="00000000" w:rsidRPr="00F86727" w:rsidP="00F94456">
      <w:pPr>
        <w:pStyle w:val="BodyText"/>
      </w:pPr>
      <w:r w:rsidRPr="00F86727">
        <w:t>Foundation skills essential to performance are explicit in the performance criteria of this unit of competency.</w:t>
      </w:r>
    </w:p>
    <w:p w:rsidR="00000000" w:rsidRPr="00F86727" w:rsidP="00F86727">
      <w:pPr>
        <w:pStyle w:val="Heading1"/>
      </w:pPr>
      <w:bookmarkStart w:id="7" w:name="O_950440"/>
      <w:bookmarkEnd w:id="7"/>
      <w:r w:rsidRPr="00F86727">
        <w:t>Range of Conditions</w:t>
      </w:r>
    </w:p>
    <w:tbl>
      <w:tblPr>
        <w:tblW w:w="9288" w:type="dxa"/>
        <w:tblLayout w:type="fixed"/>
        <w:tblCellMar>
          <w:left w:w="62" w:type="dxa"/>
          <w:right w:w="62" w:type="dxa"/>
        </w:tblCellMar>
        <w:tblLook w:val="0000"/>
      </w:tblPr>
      <w:tblGrid>
        <w:gridCol w:w="2828"/>
        <w:gridCol w:w="6244"/>
        <w:gridCol w:w="216"/>
      </w:tblGrid>
      <w:tr w:rsidTr="00F86727">
        <w:tblPrEx>
          <w:tblW w:w="9288" w:type="dxa"/>
          <w:tblLayout w:type="fixed"/>
          <w:tblCellMar>
            <w:left w:w="62" w:type="dxa"/>
            <w:right w:w="62" w:type="dxa"/>
          </w:tblCellMar>
          <w:tblLook w:val="0000"/>
        </w:tblPrEx>
        <w:trPr>
          <w:gridAfter w:val="1"/>
          <w:wAfter w:w="216" w:type="dxa"/>
          <w:tblHeader/>
        </w:trPr>
        <w:tc>
          <w:tcPr>
            <w:tcW w:w="9072" w:type="dxa"/>
            <w:gridSpan w:val="2"/>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t>This field allows for different work environments and conditions that may affect performance. Essential operating conditions that may be present (depending on the work situation, needs of the candidate, accessibility of the item, and local industry and reg</w:t>
            </w:r>
            <w:r w:rsidRPr="00F86727">
              <w:t>ional contexts) are included.</w:t>
            </w:r>
          </w:p>
        </w:tc>
      </w:tr>
      <w:tr w:rsidTr="00F86727">
        <w:tblPrEx>
          <w:tblW w:w="9288" w:type="dxa"/>
          <w:tblLayout w:type="fixed"/>
          <w:tblCellMar>
            <w:left w:w="62" w:type="dxa"/>
            <w:right w:w="62" w:type="dxa"/>
          </w:tblCellMar>
          <w:tblLook w:val="0000"/>
        </w:tblPrEx>
        <w:tc>
          <w:tcPr>
            <w:tcW w:w="2828" w:type="dxa"/>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rPr>
                <w:rStyle w:val="SpecialBold"/>
              </w:rPr>
              <w:t>Hazards include one (1) or more of the following:</w:t>
            </w:r>
          </w:p>
        </w:tc>
        <w:tc>
          <w:tcPr>
            <w:tcW w:w="6460" w:type="dxa"/>
            <w:gridSpan w:val="2"/>
            <w:tcBorders>
              <w:top w:val="nil"/>
              <w:left w:val="nil"/>
              <w:bottom w:val="nil"/>
              <w:right w:val="nil"/>
            </w:tcBorders>
            <w:tcMar>
              <w:top w:w="0" w:type="dxa"/>
              <w:left w:w="62" w:type="dxa"/>
              <w:bottom w:w="0" w:type="dxa"/>
              <w:right w:w="62" w:type="dxa"/>
            </w:tcMar>
          </w:tcPr>
          <w:p w:rsidR="00000000" w:rsidRPr="00F86727" w:rsidP="00F86727">
            <w:pPr>
              <w:pStyle w:val="ListBullet"/>
            </w:pPr>
            <w:r w:rsidRPr="00F86727">
              <w:t>overhead power lines</w:t>
            </w:r>
          </w:p>
          <w:p w:rsidR="00000000" w:rsidRPr="00F86727" w:rsidP="00F86727">
            <w:pPr>
              <w:pStyle w:val="ListBullet"/>
            </w:pPr>
            <w:r w:rsidRPr="00F86727">
              <w:t>trees</w:t>
            </w:r>
          </w:p>
          <w:p w:rsidR="00000000" w:rsidRPr="00F86727" w:rsidP="00F86727">
            <w:pPr>
              <w:pStyle w:val="ListBullet"/>
            </w:pPr>
            <w:r w:rsidRPr="00F86727">
              <w:t>overhead service lines (steam, gas, water, telephone)</w:t>
            </w:r>
          </w:p>
          <w:p w:rsidR="00000000" w:rsidRPr="00F86727" w:rsidP="00F86727">
            <w:pPr>
              <w:pStyle w:val="ListBullet"/>
            </w:pPr>
            <w:r w:rsidRPr="00F86727">
              <w:t>underground services</w:t>
            </w:r>
          </w:p>
          <w:p w:rsidR="00000000" w:rsidRPr="00F86727" w:rsidP="00F86727">
            <w:pPr>
              <w:pStyle w:val="ListBullet"/>
            </w:pPr>
            <w:r w:rsidRPr="00F86727">
              <w:t>uneven and/or unstable ground</w:t>
            </w:r>
          </w:p>
          <w:p w:rsidR="00000000" w:rsidRPr="00F86727" w:rsidP="00F86727">
            <w:pPr>
              <w:pStyle w:val="ListBullet"/>
            </w:pPr>
            <w:r w:rsidRPr="00F86727">
              <w:t>allowable floor loading as appropriate</w:t>
            </w:r>
          </w:p>
          <w:p w:rsidR="00000000" w:rsidRPr="00F86727" w:rsidP="00F86727">
            <w:pPr>
              <w:pStyle w:val="ListBullet"/>
            </w:pPr>
            <w:r w:rsidRPr="00F86727">
              <w:t>other workers and persons</w:t>
            </w:r>
          </w:p>
          <w:p w:rsidR="00000000" w:rsidRPr="00F86727" w:rsidP="00F86727">
            <w:pPr>
              <w:pStyle w:val="ListBullet"/>
            </w:pPr>
            <w:r w:rsidRPr="00F86727">
              <w:t>surrounding buildings/vessels/structures equipment</w:t>
            </w:r>
          </w:p>
          <w:p w:rsidR="00000000" w:rsidRPr="00F86727" w:rsidP="00F86727">
            <w:pPr>
              <w:pStyle w:val="ListBullet"/>
            </w:pPr>
            <w:r w:rsidRPr="00F86727">
              <w:t>hazardous materials</w:t>
            </w:r>
          </w:p>
          <w:p w:rsidR="00000000" w:rsidRPr="00F86727" w:rsidP="00F86727">
            <w:pPr>
              <w:pStyle w:val="ListBullet"/>
            </w:pPr>
            <w:r w:rsidRPr="00F86727">
              <w:t>corrosive substances</w:t>
            </w:r>
          </w:p>
          <w:p w:rsidR="00000000" w:rsidRPr="00F86727" w:rsidP="00F86727">
            <w:pPr>
              <w:pStyle w:val="ListBullet"/>
            </w:pPr>
            <w:r w:rsidRPr="00F86727">
              <w:t>barricades</w:t>
            </w:r>
          </w:p>
          <w:p w:rsidR="00000000" w:rsidRPr="00F86727" w:rsidP="00F86727">
            <w:pPr>
              <w:pStyle w:val="ListBullet"/>
            </w:pPr>
            <w:r w:rsidRPr="00F86727">
              <w:t xml:space="preserve">inadequate lighting </w:t>
            </w:r>
          </w:p>
          <w:p w:rsidR="00000000" w:rsidRPr="00F86727" w:rsidP="00F86727">
            <w:pPr>
              <w:pStyle w:val="ListBullet"/>
            </w:pPr>
            <w:r w:rsidRPr="00F86727">
              <w:t>radio interference</w:t>
            </w:r>
          </w:p>
          <w:p w:rsidR="00000000" w:rsidP="00F86727">
            <w:pPr>
              <w:pStyle w:val="BodyText"/>
              <w:rPr>
                <w:lang w:val="en-NZ"/>
              </w:rPr>
            </w:pPr>
          </w:p>
        </w:tc>
      </w:tr>
      <w:tr w:rsidTr="00F86727">
        <w:tblPrEx>
          <w:tblW w:w="9288" w:type="dxa"/>
          <w:tblLayout w:type="fixed"/>
          <w:tblCellMar>
            <w:left w:w="62" w:type="dxa"/>
            <w:right w:w="62" w:type="dxa"/>
          </w:tblCellMar>
          <w:tblLook w:val="0000"/>
        </w:tblPrEx>
        <w:tc>
          <w:tcPr>
            <w:tcW w:w="2828" w:type="dxa"/>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rPr>
                <w:rStyle w:val="SpecialBold"/>
              </w:rPr>
              <w:t>Load shifting equipment includes one (1) or more of the following:</w:t>
            </w:r>
          </w:p>
        </w:tc>
        <w:tc>
          <w:tcPr>
            <w:tcW w:w="6460" w:type="dxa"/>
            <w:gridSpan w:val="2"/>
            <w:tcBorders>
              <w:top w:val="nil"/>
              <w:left w:val="nil"/>
              <w:bottom w:val="nil"/>
              <w:right w:val="nil"/>
            </w:tcBorders>
            <w:tcMar>
              <w:top w:w="0" w:type="dxa"/>
              <w:left w:w="62" w:type="dxa"/>
              <w:bottom w:w="0" w:type="dxa"/>
              <w:right w:w="62" w:type="dxa"/>
            </w:tcMar>
          </w:tcPr>
          <w:p w:rsidR="00000000" w:rsidRPr="00F86727" w:rsidP="00F86727">
            <w:pPr>
              <w:pStyle w:val="ListBullet"/>
            </w:pPr>
            <w:r w:rsidRPr="00F86727">
              <w:t>overhead cranes</w:t>
            </w:r>
          </w:p>
          <w:p w:rsidR="00000000" w:rsidRPr="00F86727" w:rsidP="00F86727">
            <w:pPr>
              <w:pStyle w:val="ListBullet"/>
            </w:pPr>
            <w:r w:rsidRPr="00F86727">
              <w:t>o</w:t>
            </w:r>
            <w:r w:rsidRPr="00F86727">
              <w:t>verhead gantry</w:t>
            </w:r>
          </w:p>
          <w:p w:rsidR="00000000" w:rsidRPr="00F86727" w:rsidP="00F86727">
            <w:pPr>
              <w:pStyle w:val="ListBullet"/>
            </w:pPr>
            <w:r w:rsidRPr="00F86727">
              <w:t>forklift with approved lifting boom/jib</w:t>
            </w:r>
          </w:p>
          <w:p w:rsidR="00000000" w:rsidRPr="00F86727" w:rsidP="00F86727">
            <w:pPr>
              <w:pStyle w:val="ListBullet"/>
            </w:pPr>
            <w:r w:rsidRPr="00F86727">
              <w:t>mobile cranes</w:t>
            </w:r>
          </w:p>
          <w:p w:rsidR="00000000" w:rsidP="00F86727">
            <w:pPr>
              <w:pStyle w:val="BodyText"/>
              <w:rPr>
                <w:lang w:val="en-NZ"/>
              </w:rPr>
            </w:pPr>
          </w:p>
        </w:tc>
      </w:tr>
      <w:tr w:rsidTr="00F86727">
        <w:tblPrEx>
          <w:tblW w:w="9288" w:type="dxa"/>
          <w:tblLayout w:type="fixed"/>
          <w:tblCellMar>
            <w:left w:w="62" w:type="dxa"/>
            <w:right w:w="62" w:type="dxa"/>
          </w:tblCellMar>
          <w:tblLook w:val="0000"/>
        </w:tblPrEx>
        <w:tc>
          <w:tcPr>
            <w:tcW w:w="2828" w:type="dxa"/>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rPr>
                <w:rStyle w:val="SpecialBold"/>
              </w:rPr>
              <w:t>Lifting method includes the following:</w:t>
            </w:r>
          </w:p>
        </w:tc>
        <w:tc>
          <w:tcPr>
            <w:tcW w:w="6460" w:type="dxa"/>
            <w:gridSpan w:val="2"/>
            <w:tcBorders>
              <w:top w:val="nil"/>
              <w:left w:val="nil"/>
              <w:bottom w:val="nil"/>
              <w:right w:val="nil"/>
            </w:tcBorders>
            <w:tcMar>
              <w:top w:w="0" w:type="dxa"/>
              <w:left w:w="62" w:type="dxa"/>
              <w:bottom w:w="0" w:type="dxa"/>
              <w:right w:w="62" w:type="dxa"/>
            </w:tcMar>
          </w:tcPr>
          <w:p w:rsidR="00000000" w:rsidRPr="00F86727" w:rsidP="00F86727">
            <w:pPr>
              <w:pStyle w:val="ListBullet"/>
            </w:pPr>
            <w:r w:rsidRPr="00F86727">
              <w:t>slings in an appropriate configuration</w:t>
            </w:r>
          </w:p>
          <w:p w:rsidR="00000000" w:rsidP="00F86727">
            <w:pPr>
              <w:pStyle w:val="BodyText"/>
              <w:rPr>
                <w:lang w:val="en-NZ"/>
              </w:rPr>
            </w:pPr>
          </w:p>
        </w:tc>
      </w:tr>
      <w:tr w:rsidTr="00F86727">
        <w:tblPrEx>
          <w:tblW w:w="9288" w:type="dxa"/>
          <w:tblLayout w:type="fixed"/>
          <w:tblCellMar>
            <w:left w:w="62" w:type="dxa"/>
            <w:right w:w="62" w:type="dxa"/>
          </w:tblCellMar>
          <w:tblLook w:val="0000"/>
        </w:tblPrEx>
        <w:tc>
          <w:tcPr>
            <w:tcW w:w="2828" w:type="dxa"/>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rPr>
                <w:rStyle w:val="SpecialBold"/>
              </w:rPr>
              <w:t>Lifting gear includes one (1) or more of the following:</w:t>
            </w:r>
          </w:p>
        </w:tc>
        <w:tc>
          <w:tcPr>
            <w:tcW w:w="6460" w:type="dxa"/>
            <w:gridSpan w:val="2"/>
            <w:tcBorders>
              <w:top w:val="nil"/>
              <w:left w:val="nil"/>
              <w:bottom w:val="nil"/>
              <w:right w:val="nil"/>
            </w:tcBorders>
            <w:tcMar>
              <w:top w:w="0" w:type="dxa"/>
              <w:left w:w="62" w:type="dxa"/>
              <w:bottom w:w="0" w:type="dxa"/>
              <w:right w:w="62" w:type="dxa"/>
            </w:tcMar>
          </w:tcPr>
          <w:p w:rsidR="00000000" w:rsidRPr="00F86727" w:rsidP="00F86727">
            <w:pPr>
              <w:pStyle w:val="ListBullet"/>
            </w:pPr>
            <w:r w:rsidRPr="00F86727">
              <w:t>tags</w:t>
            </w:r>
          </w:p>
          <w:p w:rsidR="00000000" w:rsidRPr="00F86727" w:rsidP="00F86727">
            <w:pPr>
              <w:pStyle w:val="ListBullet"/>
            </w:pPr>
            <w:r w:rsidRPr="00F86727">
              <w:t>slings</w:t>
            </w:r>
          </w:p>
          <w:p w:rsidR="00000000" w:rsidRPr="00F86727" w:rsidP="00F86727">
            <w:pPr>
              <w:pStyle w:val="ListBullet"/>
            </w:pPr>
            <w:r w:rsidRPr="00F86727">
              <w:t>ropes</w:t>
            </w:r>
          </w:p>
          <w:p w:rsidR="00000000" w:rsidRPr="00F86727" w:rsidP="00F86727">
            <w:pPr>
              <w:pStyle w:val="ListBullet"/>
            </w:pPr>
            <w:r w:rsidRPr="00F86727">
              <w:t>shackles</w:t>
            </w:r>
          </w:p>
          <w:p w:rsidR="00000000" w:rsidRPr="00F86727" w:rsidP="00F86727">
            <w:pPr>
              <w:pStyle w:val="ListBullet"/>
            </w:pPr>
            <w:r w:rsidRPr="00F86727">
              <w:t>lifting clutches</w:t>
            </w:r>
          </w:p>
          <w:p w:rsidR="00000000" w:rsidRPr="00F86727" w:rsidP="00F86727">
            <w:pPr>
              <w:pStyle w:val="ListBullet"/>
            </w:pPr>
            <w:r w:rsidRPr="00F86727">
              <w:t>snatch blocks</w:t>
            </w:r>
          </w:p>
          <w:p w:rsidR="00000000" w:rsidRPr="00F86727" w:rsidP="00F86727">
            <w:pPr>
              <w:pStyle w:val="ListBullet"/>
            </w:pPr>
            <w:r w:rsidRPr="00F86727">
              <w:t>I bolts</w:t>
            </w:r>
          </w:p>
          <w:p w:rsidR="00000000" w:rsidRPr="00F86727" w:rsidP="00F86727">
            <w:pPr>
              <w:pStyle w:val="ListBullet"/>
            </w:pPr>
            <w:r w:rsidRPr="00F86727">
              <w:t>spreader beams</w:t>
            </w:r>
          </w:p>
          <w:p w:rsidR="00000000" w:rsidRPr="00F86727" w:rsidP="00F86727">
            <w:pPr>
              <w:pStyle w:val="ListBullet"/>
            </w:pPr>
            <w:r w:rsidRPr="00F86727">
              <w:t>chain blocks</w:t>
            </w:r>
          </w:p>
          <w:p w:rsidR="00000000" w:rsidRPr="00F86727" w:rsidP="00F86727">
            <w:pPr>
              <w:pStyle w:val="ListBullet"/>
            </w:pPr>
            <w:r w:rsidRPr="00F86727">
              <w:t>chain shorteners and include equalising sheaves</w:t>
            </w:r>
          </w:p>
          <w:p w:rsidR="00000000" w:rsidRPr="00F86727" w:rsidP="00F86727">
            <w:pPr>
              <w:pStyle w:val="ListBullet"/>
            </w:pPr>
            <w:r w:rsidRPr="00F86727">
              <w:t>collared I bolts</w:t>
            </w:r>
          </w:p>
          <w:p w:rsidR="00000000" w:rsidRPr="00F86727" w:rsidP="00F86727">
            <w:pPr>
              <w:pStyle w:val="ListBullet"/>
            </w:pPr>
            <w:r w:rsidRPr="00F86727">
              <w:t>turn buckles</w:t>
            </w:r>
          </w:p>
          <w:p w:rsidR="00000000" w:rsidRPr="00F86727" w:rsidP="00F86727">
            <w:pPr>
              <w:pStyle w:val="ListBullet"/>
            </w:pPr>
            <w:r w:rsidRPr="00F86727">
              <w:t xml:space="preserve">rigging screws </w:t>
            </w:r>
          </w:p>
          <w:p w:rsidR="00000000" w:rsidRPr="00F86727" w:rsidP="00F86727">
            <w:pPr>
              <w:pStyle w:val="ListBullet"/>
            </w:pPr>
            <w:r w:rsidRPr="00F86727">
              <w:t>lifting lugs</w:t>
            </w:r>
          </w:p>
          <w:p w:rsidR="00000000" w:rsidP="00F86727">
            <w:pPr>
              <w:pStyle w:val="BodyText"/>
              <w:rPr>
                <w:lang w:val="en-NZ"/>
              </w:rPr>
            </w:pPr>
          </w:p>
        </w:tc>
      </w:tr>
      <w:tr w:rsidTr="00F86727">
        <w:tblPrEx>
          <w:tblW w:w="9288" w:type="dxa"/>
          <w:tblLayout w:type="fixed"/>
          <w:tblCellMar>
            <w:left w:w="62" w:type="dxa"/>
            <w:right w:w="62" w:type="dxa"/>
          </w:tblCellMar>
          <w:tblLook w:val="0000"/>
        </w:tblPrEx>
        <w:tc>
          <w:tcPr>
            <w:tcW w:w="2828" w:type="dxa"/>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rPr>
                <w:rStyle w:val="SpecialBold"/>
              </w:rPr>
              <w:t>Calculations include the following:</w:t>
            </w:r>
          </w:p>
        </w:tc>
        <w:tc>
          <w:tcPr>
            <w:tcW w:w="6460" w:type="dxa"/>
            <w:gridSpan w:val="2"/>
            <w:tcBorders>
              <w:top w:val="nil"/>
              <w:left w:val="nil"/>
              <w:bottom w:val="nil"/>
              <w:right w:val="nil"/>
            </w:tcBorders>
            <w:tcMar>
              <w:top w:w="0" w:type="dxa"/>
              <w:left w:w="62" w:type="dxa"/>
              <w:bottom w:w="0" w:type="dxa"/>
              <w:right w:w="62" w:type="dxa"/>
            </w:tcMar>
          </w:tcPr>
          <w:p w:rsidR="00000000" w:rsidRPr="00F86727" w:rsidP="00F86727">
            <w:pPr>
              <w:pStyle w:val="ListBullet"/>
            </w:pPr>
            <w:r w:rsidRPr="00F86727">
              <w:t>load and lifting gear calculations</w:t>
            </w:r>
          </w:p>
          <w:p w:rsidR="00000000" w:rsidP="00F86727">
            <w:pPr>
              <w:pStyle w:val="BodyText"/>
              <w:rPr>
                <w:lang w:val="en-NZ"/>
              </w:rPr>
            </w:pPr>
          </w:p>
        </w:tc>
      </w:tr>
      <w:tr w:rsidTr="00F86727">
        <w:tblPrEx>
          <w:tblW w:w="9288" w:type="dxa"/>
          <w:tblLayout w:type="fixed"/>
          <w:tblCellMar>
            <w:left w:w="62" w:type="dxa"/>
            <w:right w:w="62" w:type="dxa"/>
          </w:tblCellMar>
          <w:tblLook w:val="0000"/>
        </w:tblPrEx>
        <w:tc>
          <w:tcPr>
            <w:tcW w:w="2828" w:type="dxa"/>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rPr>
                <w:rStyle w:val="SpecialBold"/>
              </w:rPr>
              <w:t>Safe working practices include the following:</w:t>
            </w:r>
          </w:p>
        </w:tc>
        <w:tc>
          <w:tcPr>
            <w:tcW w:w="6460" w:type="dxa"/>
            <w:gridSpan w:val="2"/>
            <w:tcBorders>
              <w:top w:val="nil"/>
              <w:left w:val="nil"/>
              <w:bottom w:val="nil"/>
              <w:right w:val="nil"/>
            </w:tcBorders>
            <w:tcMar>
              <w:top w:w="0" w:type="dxa"/>
              <w:left w:w="62" w:type="dxa"/>
              <w:bottom w:w="0" w:type="dxa"/>
              <w:right w:w="62" w:type="dxa"/>
            </w:tcMar>
          </w:tcPr>
          <w:p w:rsidR="00000000" w:rsidRPr="00F86727" w:rsidP="00F86727">
            <w:pPr>
              <w:pStyle w:val="ListBullet"/>
            </w:pPr>
            <w:r w:rsidRPr="00F86727">
              <w:t>inspection of the environment, assessment of hazards and personnel safety</w:t>
            </w:r>
          </w:p>
          <w:p w:rsidR="00000000" w:rsidP="00F86727">
            <w:pPr>
              <w:pStyle w:val="BodyText"/>
              <w:rPr>
                <w:lang w:val="en-NZ"/>
              </w:rPr>
            </w:pPr>
          </w:p>
        </w:tc>
      </w:tr>
      <w:tr w:rsidTr="00F86727">
        <w:tblPrEx>
          <w:tblW w:w="9288" w:type="dxa"/>
          <w:tblLayout w:type="fixed"/>
          <w:tblCellMar>
            <w:left w:w="62" w:type="dxa"/>
            <w:right w:w="62" w:type="dxa"/>
          </w:tblCellMar>
          <w:tblLook w:val="0000"/>
        </w:tblPrEx>
        <w:tc>
          <w:tcPr>
            <w:tcW w:w="2828" w:type="dxa"/>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rPr>
                <w:rStyle w:val="SpecialBold"/>
              </w:rPr>
              <w:t>Communication and signalling methods include the following:</w:t>
            </w:r>
          </w:p>
        </w:tc>
        <w:tc>
          <w:tcPr>
            <w:tcW w:w="6460" w:type="dxa"/>
            <w:gridSpan w:val="2"/>
            <w:tcBorders>
              <w:top w:val="nil"/>
              <w:left w:val="nil"/>
              <w:bottom w:val="nil"/>
              <w:right w:val="nil"/>
            </w:tcBorders>
            <w:tcMar>
              <w:top w:w="0" w:type="dxa"/>
              <w:left w:w="62" w:type="dxa"/>
              <w:bottom w:w="0" w:type="dxa"/>
              <w:right w:w="62" w:type="dxa"/>
            </w:tcMar>
          </w:tcPr>
          <w:p w:rsidR="00000000" w:rsidRPr="00F86727" w:rsidP="00F86727">
            <w:pPr>
              <w:pStyle w:val="ListBullet"/>
            </w:pPr>
            <w:r w:rsidRPr="00F86727">
              <w:t>signals are given both within sight and out of sight of equipment operat</w:t>
            </w:r>
            <w:r w:rsidRPr="00F86727">
              <w:t xml:space="preserve">ors </w:t>
            </w:r>
          </w:p>
          <w:p w:rsidR="00000000" w:rsidRPr="00F86727" w:rsidP="00F86727">
            <w:pPr>
              <w:pStyle w:val="ListBullet"/>
            </w:pPr>
            <w:r w:rsidRPr="00F86727">
              <w:t>signals, including stop, raise, lower, slew, luff, extend and retract boom, using hands, verbal instructions and whistles</w:t>
            </w:r>
          </w:p>
          <w:p w:rsidR="00000000" w:rsidP="00F86727">
            <w:pPr>
              <w:pStyle w:val="BodyText"/>
              <w:rPr>
                <w:lang w:val="en-NZ"/>
              </w:rPr>
            </w:pPr>
          </w:p>
        </w:tc>
      </w:tr>
      <w:tr w:rsidTr="00F86727">
        <w:tblPrEx>
          <w:tblW w:w="9288" w:type="dxa"/>
          <w:tblLayout w:type="fixed"/>
          <w:tblCellMar>
            <w:left w:w="62" w:type="dxa"/>
            <w:right w:w="62" w:type="dxa"/>
          </w:tblCellMar>
          <w:tblLook w:val="0000"/>
        </w:tblPrEx>
        <w:tc>
          <w:tcPr>
            <w:tcW w:w="2828" w:type="dxa"/>
            <w:tcBorders>
              <w:top w:val="nil"/>
              <w:left w:val="nil"/>
              <w:bottom w:val="nil"/>
              <w:right w:val="nil"/>
            </w:tcBorders>
            <w:tcMar>
              <w:top w:w="0" w:type="dxa"/>
              <w:left w:w="62" w:type="dxa"/>
              <w:bottom w:w="0" w:type="dxa"/>
              <w:right w:w="62" w:type="dxa"/>
            </w:tcMar>
          </w:tcPr>
          <w:p w:rsidR="00000000" w:rsidP="00F86727">
            <w:pPr>
              <w:pStyle w:val="BodyText"/>
              <w:rPr>
                <w:lang w:val="en-NZ"/>
              </w:rPr>
            </w:pPr>
            <w:r w:rsidRPr="00F86727">
              <w:rPr>
                <w:rStyle w:val="SpecialBold"/>
              </w:rPr>
              <w:t>State or territory legislative requirements include the following:</w:t>
            </w:r>
          </w:p>
        </w:tc>
        <w:tc>
          <w:tcPr>
            <w:tcW w:w="6460" w:type="dxa"/>
            <w:gridSpan w:val="2"/>
            <w:tcBorders>
              <w:top w:val="nil"/>
              <w:left w:val="nil"/>
              <w:bottom w:val="nil"/>
              <w:right w:val="nil"/>
            </w:tcBorders>
            <w:tcMar>
              <w:top w:w="0" w:type="dxa"/>
              <w:left w:w="62" w:type="dxa"/>
              <w:bottom w:w="0" w:type="dxa"/>
              <w:right w:w="62" w:type="dxa"/>
            </w:tcMar>
          </w:tcPr>
          <w:p w:rsidR="00000000" w:rsidRPr="00F86727" w:rsidP="00F86727">
            <w:pPr>
              <w:pStyle w:val="ListBullet"/>
            </w:pPr>
            <w:r w:rsidRPr="00F86727">
              <w:t>appropriate WHS and acts and regulations</w:t>
            </w:r>
          </w:p>
          <w:p w:rsidR="00000000" w:rsidRPr="00F86727" w:rsidP="00F86727">
            <w:pPr>
              <w:pStyle w:val="ListBullet"/>
            </w:pPr>
            <w:r w:rsidRPr="00F86727">
              <w:t>Australian Standar</w:t>
            </w:r>
            <w:r w:rsidRPr="00F86727">
              <w:t>ds and codes of practice, including:</w:t>
            </w:r>
          </w:p>
          <w:p w:rsidR="00000000" w:rsidRPr="00F86727" w:rsidP="00F86727">
            <w:pPr>
              <w:pStyle w:val="ListBullet2"/>
            </w:pPr>
            <w:r w:rsidRPr="00F86727">
              <w:t xml:space="preserve">NOHSC:1006, National Occupational Health and Safety Certification Standards for Users and Operators of Industrial Equipment </w:t>
            </w:r>
          </w:p>
          <w:p w:rsidR="00000000" w:rsidRPr="00F86727" w:rsidP="00F86727">
            <w:pPr>
              <w:pStyle w:val="ListBullet2"/>
            </w:pPr>
            <w:r w:rsidRPr="00F86727">
              <w:t>AS 1418 Set-2011, Cranes, hoists and winches Set</w:t>
            </w:r>
          </w:p>
        </w:tc>
      </w:tr>
    </w:tbl>
    <w:p w:rsidR="00000000" w:rsidRPr="00F86727" w:rsidP="00F86727">
      <w:pPr>
        <w:pStyle w:val="BodyText"/>
      </w:pPr>
    </w:p>
    <w:p w:rsidR="00000000" w:rsidRPr="00F86727" w:rsidP="00F86727">
      <w:pPr>
        <w:pStyle w:val="AllowPageBreak"/>
      </w:pPr>
    </w:p>
    <w:p w:rsidR="00000000" w:rsidRPr="00F86727" w:rsidP="00F86727">
      <w:pPr>
        <w:pStyle w:val="Heading1"/>
      </w:pPr>
      <w:bookmarkStart w:id="8" w:name="O_950439"/>
      <w:bookmarkEnd w:id="8"/>
      <w:r w:rsidRPr="00F86727">
        <w:t>Unit Mapping Information</w:t>
      </w:r>
    </w:p>
    <w:p w:rsidR="00000000" w:rsidRPr="00F86727" w:rsidP="00F94456">
      <w:pPr>
        <w:pStyle w:val="BodyText"/>
      </w:pPr>
      <w:r w:rsidRPr="00F86727">
        <w:t xml:space="preserve">Release 1. Supersedes and is equivalent to MEM11004B Undertake dogging </w:t>
      </w:r>
    </w:p>
    <w:p w:rsidR="00000000" w:rsidRPr="00F86727" w:rsidP="00F86727">
      <w:pPr>
        <w:pStyle w:val="Heading1"/>
      </w:pPr>
      <w:bookmarkStart w:id="9" w:name="O_950432"/>
      <w:bookmarkEnd w:id="9"/>
      <w:r w:rsidRPr="00F86727">
        <w:t>Links</w:t>
      </w:r>
    </w:p>
    <w:p w:rsidR="00000000" w:rsidRPr="00F86727" w:rsidP="00F94456">
      <w:pPr>
        <w:pStyle w:val="BodyText"/>
      </w:pPr>
      <w:r w:rsidRPr="00F8672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45620">
        <w:rPr>
          <w:rStyle w:val="Hyperlink"/>
        </w:rPr>
        <w:t>https://vetnet.gov.au/Pages/TrainingDocs.aspx?q=b7050d37-5fd0-4740-8f7d-3b7a49c10bb2</w:t>
      </w:r>
      <w:r>
        <w:fldChar w:fldCharType="end"/>
      </w:r>
    </w:p>
    <w:p w:rsidR="00000000" w:rsidRPr="00F86727" w:rsidP="00F94456">
      <w:pPr>
        <w:pStyle w:val="BodyText"/>
        <w:sectPr w:rsidSect="00F86727">
          <w:headerReference w:type="default" r:id="rId10"/>
          <w:footerReference w:type="default" r:id="rId11"/>
          <w:pgSz w:w="11908" w:h="16833"/>
          <w:pgMar w:top="1702" w:right="1418" w:bottom="1702" w:left="1418" w:header="992" w:footer="992" w:gutter="0"/>
          <w:cols w:space="720"/>
          <w:noEndnote/>
          <w:docGrid w:linePitch="299"/>
        </w:sectPr>
      </w:pPr>
    </w:p>
    <w:p w:rsidR="00000000" w:rsidRPr="00F86727" w:rsidP="00F86727">
      <w:pPr>
        <w:pStyle w:val="SuperHeading"/>
      </w:pPr>
      <w:r w:rsidRPr="00F86727">
        <w:t>Assessment Requirements for MEM11004 Undertake dogging</w:t>
      </w:r>
    </w:p>
    <w:p w:rsidR="00000000" w:rsidRPr="00F86727" w:rsidP="00F86727">
      <w:pPr>
        <w:pStyle w:val="Heading1"/>
      </w:pPr>
      <w:bookmarkStart w:id="10" w:name="O_950434"/>
      <w:bookmarkEnd w:id="10"/>
      <w:r w:rsidRPr="00F86727">
        <w:t>Modification History</w:t>
      </w:r>
    </w:p>
    <w:p w:rsidR="00000000" w:rsidRPr="00F86727" w:rsidP="00F94456">
      <w:pPr>
        <w:pStyle w:val="BodyText"/>
      </w:pPr>
      <w:r w:rsidRPr="00F86727">
        <w:t xml:space="preserve">Release 1. Supersedes and is equivalent to MEM11004B Undertake dogging </w:t>
      </w:r>
    </w:p>
    <w:p w:rsidR="00000000" w:rsidRPr="00F86727" w:rsidP="00F86727">
      <w:pPr>
        <w:pStyle w:val="Heading1"/>
      </w:pPr>
      <w:bookmarkStart w:id="11" w:name="O_950437"/>
      <w:bookmarkEnd w:id="11"/>
      <w:r w:rsidRPr="00F86727">
        <w:t>Performance Evidence</w:t>
      </w:r>
    </w:p>
    <w:p w:rsidR="00000000" w:rsidRPr="00F86727" w:rsidP="00F94456">
      <w:pPr>
        <w:pStyle w:val="BodyText"/>
      </w:pPr>
      <w:r w:rsidRPr="00F86727">
        <w:t>Evidence required to demonstrate competence in this unit must be relevant to and satisfy the requirements of the elements and performance criteria on at least two (2) occasions and include:</w:t>
      </w:r>
    </w:p>
    <w:p w:rsidR="00000000" w:rsidRPr="00F86727" w:rsidP="00F86727">
      <w:pPr>
        <w:pStyle w:val="ListBullet"/>
      </w:pPr>
      <w:r w:rsidRPr="00F86727">
        <w:t>following work instructions, standard operating procedures (SOPs)</w:t>
      </w:r>
      <w:r w:rsidRPr="00F86727">
        <w:t xml:space="preserve"> and safe work practices </w:t>
      </w:r>
    </w:p>
    <w:p w:rsidR="00000000" w:rsidRPr="00F86727" w:rsidP="00F86727">
      <w:pPr>
        <w:pStyle w:val="ListBullet"/>
      </w:pPr>
      <w:r w:rsidRPr="00F86727">
        <w:t>selecting lifting methods and load shifting equipment appropriate to the task</w:t>
      </w:r>
    </w:p>
    <w:p w:rsidR="00000000" w:rsidRPr="00F86727" w:rsidP="00F86727">
      <w:pPr>
        <w:pStyle w:val="ListBullet"/>
      </w:pPr>
      <w:r w:rsidRPr="00F86727">
        <w:t>calculating safe working loads</w:t>
      </w:r>
    </w:p>
    <w:p w:rsidR="00000000" w:rsidRPr="00F86727" w:rsidP="00F86727">
      <w:pPr>
        <w:pStyle w:val="ListBullet"/>
      </w:pPr>
      <w:r w:rsidRPr="00F86727">
        <w:t>assessing the hazards and risks associated with undertaking dogging and determining the most appropriate technique</w:t>
      </w:r>
    </w:p>
    <w:p w:rsidR="00000000" w:rsidRPr="00F86727" w:rsidP="00F86727">
      <w:pPr>
        <w:pStyle w:val="ListBullet"/>
      </w:pPr>
      <w:r w:rsidRPr="00F86727">
        <w:t>attach</w:t>
      </w:r>
      <w:r w:rsidRPr="00F86727">
        <w:t>ing lifting gear using appropriate techniques</w:t>
      </w:r>
    </w:p>
    <w:p w:rsidR="00000000" w:rsidRPr="00F86727" w:rsidP="00F86727">
      <w:pPr>
        <w:pStyle w:val="ListBullet"/>
      </w:pPr>
      <w:r w:rsidRPr="00F86727">
        <w:t xml:space="preserve">using communicating and signalling methods in the movement of the load, including when the load is out of view of the crane driver </w:t>
      </w:r>
    </w:p>
    <w:p w:rsidR="00000000" w:rsidRPr="00F86727" w:rsidP="00F86727">
      <w:pPr>
        <w:pStyle w:val="ListBullet"/>
      </w:pPr>
      <w:r w:rsidRPr="00F86727">
        <w:t>using basic hand tools relating to lifts</w:t>
      </w:r>
    </w:p>
    <w:p w:rsidR="00000000" w:rsidRPr="00F86727" w:rsidP="00F86727">
      <w:pPr>
        <w:pStyle w:val="ListBullet"/>
      </w:pPr>
      <w:r w:rsidRPr="00F86727">
        <w:t>identifying damaged/worn lifting gear</w:t>
      </w:r>
      <w:r w:rsidRPr="00F86727">
        <w:t xml:space="preserve"> and reporting to appropriate personnel.</w:t>
      </w:r>
    </w:p>
    <w:p w:rsidR="00000000" w:rsidRPr="00F86727" w:rsidP="00F86727">
      <w:pPr>
        <w:pStyle w:val="AllowPageBreak"/>
      </w:pPr>
    </w:p>
    <w:p w:rsidR="00000000" w:rsidRPr="00F86727" w:rsidP="00F86727">
      <w:pPr>
        <w:pStyle w:val="Heading1"/>
      </w:pPr>
      <w:bookmarkStart w:id="12" w:name="O_950436"/>
      <w:bookmarkEnd w:id="12"/>
      <w:r w:rsidRPr="00F86727">
        <w:t>Knowledge Evidence</w:t>
      </w:r>
    </w:p>
    <w:p w:rsidR="00000000" w:rsidRPr="00F86727" w:rsidP="00F94456">
      <w:pPr>
        <w:pStyle w:val="BodyText"/>
      </w:pPr>
      <w:r w:rsidRPr="00F86727">
        <w:t>Evidence required to demonstrate the required knowledge for this unit must be relevant to and satisfy the requirements of the elements and performance criteria and include knowled</w:t>
      </w:r>
      <w:r w:rsidRPr="00F86727">
        <w:t>ge of:</w:t>
      </w:r>
    </w:p>
    <w:p w:rsidR="00000000" w:rsidRPr="00F86727" w:rsidP="00F86727">
      <w:pPr>
        <w:pStyle w:val="ListBullet"/>
      </w:pPr>
      <w:r w:rsidRPr="00F86727">
        <w:t>safe work practices and procedures and use of personal protective equipment (PPE)</w:t>
      </w:r>
    </w:p>
    <w:p w:rsidR="00000000" w:rsidRPr="00F86727" w:rsidP="00F86727">
      <w:pPr>
        <w:pStyle w:val="ListBullet"/>
      </w:pPr>
      <w:r w:rsidRPr="00F86727">
        <w:t>Australian Standards, codes of practice and specifications</w:t>
      </w:r>
    </w:p>
    <w:p w:rsidR="00000000" w:rsidRPr="00F86727" w:rsidP="00F86727">
      <w:pPr>
        <w:pStyle w:val="ListBullet"/>
      </w:pPr>
      <w:r w:rsidRPr="00F86727">
        <w:t xml:space="preserve">lifting methods and lifting gear to suit various loads </w:t>
      </w:r>
    </w:p>
    <w:p w:rsidR="00000000" w:rsidRPr="00F86727" w:rsidP="00F86727">
      <w:pPr>
        <w:pStyle w:val="ListBullet"/>
      </w:pPr>
      <w:r w:rsidRPr="00F86727">
        <w:t>dogging signals and communication methods</w:t>
      </w:r>
    </w:p>
    <w:p w:rsidR="00000000" w:rsidRPr="00F86727" w:rsidP="00F86727">
      <w:pPr>
        <w:pStyle w:val="ListBullet"/>
      </w:pPr>
      <w:r w:rsidRPr="00F86727">
        <w:t>calculati</w:t>
      </w:r>
      <w:r w:rsidRPr="00F86727">
        <w:t>ons relevant to lifting procedures</w:t>
      </w:r>
    </w:p>
    <w:p w:rsidR="00000000" w:rsidRPr="00F86727" w:rsidP="00F86727">
      <w:pPr>
        <w:pStyle w:val="ListBullet"/>
      </w:pPr>
      <w:r w:rsidRPr="00F86727">
        <w:t>lifting methods</w:t>
      </w:r>
    </w:p>
    <w:p w:rsidR="00000000" w:rsidRPr="00F86727" w:rsidP="00F86727">
      <w:pPr>
        <w:pStyle w:val="ListBullet"/>
      </w:pPr>
      <w:r w:rsidRPr="00F86727">
        <w:t>types and applications of load shifting equipment</w:t>
      </w:r>
    </w:p>
    <w:p w:rsidR="00000000" w:rsidRPr="00F86727" w:rsidP="00F86727">
      <w:pPr>
        <w:pStyle w:val="ListBullet"/>
      </w:pPr>
      <w:r w:rsidRPr="00F86727">
        <w:t>manufacturers</w:t>
      </w:r>
      <w:r>
        <w:t>’</w:t>
      </w:r>
      <w:r w:rsidRPr="00F86727">
        <w:t xml:space="preserve"> specifications</w:t>
      </w:r>
    </w:p>
    <w:p w:rsidR="00000000" w:rsidRPr="00F86727" w:rsidP="00F86727">
      <w:pPr>
        <w:pStyle w:val="ListBullet"/>
      </w:pPr>
      <w:r w:rsidRPr="00F86727">
        <w:t xml:space="preserve">enterprise and workplace communication procedures </w:t>
      </w:r>
    </w:p>
    <w:p w:rsidR="00000000" w:rsidRPr="00F86727" w:rsidP="00F86727">
      <w:pPr>
        <w:pStyle w:val="ListBullet"/>
      </w:pPr>
      <w:r w:rsidRPr="00F86727">
        <w:t>licensing and permit requirements</w:t>
      </w:r>
    </w:p>
    <w:p w:rsidR="00000000" w:rsidRPr="00F86727" w:rsidP="00F86727">
      <w:pPr>
        <w:pStyle w:val="ListBullet"/>
      </w:pPr>
      <w:r w:rsidRPr="00F86727">
        <w:t>site/non-site personnel.</w:t>
      </w:r>
    </w:p>
    <w:p w:rsidR="00000000" w:rsidRPr="00F86727" w:rsidP="00F86727">
      <w:pPr>
        <w:pStyle w:val="AllowPageBreak"/>
      </w:pPr>
    </w:p>
    <w:p w:rsidR="00000000" w:rsidRPr="00F86727" w:rsidP="00F86727">
      <w:pPr>
        <w:pStyle w:val="Heading1"/>
      </w:pPr>
      <w:bookmarkStart w:id="13" w:name="O_950435"/>
      <w:bookmarkEnd w:id="13"/>
      <w:r w:rsidRPr="00F86727">
        <w:t>Assessment Conditions</w:t>
      </w:r>
    </w:p>
    <w:p w:rsidR="00000000" w:rsidRPr="00F86727" w:rsidP="00F86727">
      <w:pPr>
        <w:pStyle w:val="ListBullet"/>
      </w:pPr>
      <w:r w:rsidRPr="00F86727">
        <w:t>Assessors must:</w:t>
      </w:r>
    </w:p>
    <w:p w:rsidR="00000000" w:rsidRPr="00F86727" w:rsidP="00F86727">
      <w:pPr>
        <w:pStyle w:val="ListBullet2"/>
      </w:pPr>
      <w:r w:rsidRPr="00F86727">
        <w:t>have vocational competency in undertaking dogging at least to the level being assessed with relevant industry knowledge and experience</w:t>
      </w:r>
    </w:p>
    <w:p w:rsidR="00000000" w:rsidRPr="00F86727" w:rsidP="00F86727">
      <w:pPr>
        <w:pStyle w:val="ListBullet2"/>
      </w:pPr>
      <w:r w:rsidRPr="00F86727">
        <w:t xml:space="preserve">satisfy the assessor requirements in the </w:t>
      </w:r>
      <w:r w:rsidRPr="00F86727">
        <w:rPr>
          <w:rStyle w:val="Emphasis"/>
        </w:rPr>
        <w:t>Standards for Registered Trainin</w:t>
      </w:r>
      <w:r w:rsidRPr="00F86727">
        <w:rPr>
          <w:rStyle w:val="Emphasis"/>
        </w:rPr>
        <w:t xml:space="preserve">g Organisations 2015 </w:t>
      </w:r>
      <w:r w:rsidRPr="00F86727">
        <w:t>or its replacement</w:t>
      </w:r>
      <w:r w:rsidRPr="00F86727">
        <w:rPr>
          <w:rStyle w:val="Emphasis"/>
        </w:rPr>
        <w:t xml:space="preserve"> </w:t>
      </w:r>
      <w:r w:rsidRPr="00F86727">
        <w:t xml:space="preserve">and comply with the </w:t>
      </w:r>
      <w:r w:rsidRPr="00F86727">
        <w:rPr>
          <w:rStyle w:val="Emphasis"/>
        </w:rPr>
        <w:t xml:space="preserve">National Vocational Education and Training Regulator Act 2011, </w:t>
      </w:r>
      <w:r w:rsidRPr="00F86727">
        <w:t>its replacement</w:t>
      </w:r>
      <w:r w:rsidRPr="00F86727">
        <w:rPr>
          <w:rStyle w:val="Emphasis"/>
        </w:rPr>
        <w:t xml:space="preserve"> </w:t>
      </w:r>
      <w:r w:rsidRPr="00F86727">
        <w:t>or equivalent legislation covering VET regulation in a non-referring state/territory as the case requires</w:t>
      </w:r>
    </w:p>
    <w:p w:rsidR="00000000" w:rsidRPr="00F86727" w:rsidP="00F86727">
      <w:pPr>
        <w:pStyle w:val="ListBullet"/>
      </w:pPr>
      <w:r w:rsidRPr="00F86727">
        <w:t>Where poss</w:t>
      </w:r>
      <w:r w:rsidRPr="00F86727">
        <w:t>ible assessment must occur in operational workplace situations. Where this is not possible or where personal safety or environmental damage are limiting factors, assessment must occur in a sufficiently rigorous simulated environment that reflects realistic</w:t>
      </w:r>
      <w:r w:rsidRPr="00F86727">
        <w:t xml:space="preserve"> operational workplace conditions. This must cover all aspects of workplace performance, including environment, task skills, task management skills, contingency management skills and job role environment skills</w:t>
      </w:r>
    </w:p>
    <w:p w:rsidR="00000000" w:rsidRPr="00F86727" w:rsidP="00F86727">
      <w:pPr>
        <w:pStyle w:val="ListBullet"/>
      </w:pPr>
      <w:r w:rsidRPr="00F86727">
        <w:t>Conditions for assessment must include access</w:t>
      </w:r>
      <w:r w:rsidRPr="00F86727">
        <w:t xml:space="preserve"> to all tools, equipment, materials and documentation required, including relevant workplace procedures, product and manufacturing specifications</w:t>
      </w:r>
    </w:p>
    <w:p w:rsidR="00000000" w:rsidRPr="00F86727" w:rsidP="00F86727">
      <w:pPr>
        <w:pStyle w:val="ListBullet"/>
      </w:pPr>
      <w:r w:rsidRPr="00F86727">
        <w:t>Assessment processes and techniques must be appropriate to the language, literacy and numeracy requirements of the work being performed and the needs of the candidate.</w:t>
      </w:r>
    </w:p>
    <w:p w:rsidR="00000000" w:rsidRPr="00F86727" w:rsidP="00F86727">
      <w:pPr>
        <w:pStyle w:val="AllowPageBreak"/>
      </w:pPr>
    </w:p>
    <w:p w:rsidR="00000000" w:rsidRPr="00F86727" w:rsidP="00F86727">
      <w:pPr>
        <w:pStyle w:val="Heading1"/>
      </w:pPr>
      <w:bookmarkStart w:id="14" w:name="O_950433"/>
      <w:bookmarkEnd w:id="14"/>
      <w:r w:rsidRPr="00F86727">
        <w:t>Links</w:t>
      </w:r>
    </w:p>
    <w:p w:rsidR="00000000" w:rsidRPr="00F86727" w:rsidP="00F94456">
      <w:pPr>
        <w:pStyle w:val="BodyText"/>
      </w:pPr>
      <w:r w:rsidRPr="00F86727">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F45620">
        <w:rPr>
          <w:rStyle w:val="Hyperlink"/>
        </w:rPr>
        <w:t>https://vetnet.gov.au/Pages/TrainingDocs.aspx?q=b7050d37-5fd0-4740-8f7d-3b7a49c10bb2</w:t>
      </w:r>
      <w:r>
        <w:fldChar w:fldCharType="end"/>
      </w:r>
    </w:p>
    <w:p w:rsidR="00000000" w:rsidRPr="00F86727" w:rsidP="00F86727"/>
    <w:sectPr w:rsidSect="00F8672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7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727" w:rsidRPr="00F94456" w:rsidP="00F944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7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456" w:rsidP="00F867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94456" w:rsidP="00F8672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94456" w:rsidP="00F8672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727" w:rsidP="00F86727">
    <w:pPr>
      <w:pStyle w:val="Footer"/>
      <w:framePr w:wrap="around"/>
    </w:pPr>
    <w:r>
      <w:fldChar w:fldCharType="begin"/>
    </w:r>
    <w:r>
      <w:instrText xml:space="preserve"> DOCPROPERTY  Subject  \* MERGEFORMAT </w:instrText>
    </w:r>
    <w:r>
      <w:fldChar w:fldCharType="separate"/>
    </w:r>
    <w:r w:rsidR="00F94456">
      <w:t>Approved</w:t>
    </w:r>
    <w:r w:rsidR="00F94456">
      <w:fldChar w:fldCharType="end"/>
    </w:r>
    <w:r>
      <w:tab/>
      <w:t xml:space="preserve">Page </w:t>
    </w:r>
    <w:r>
      <w:fldChar w:fldCharType="begin"/>
    </w:r>
    <w:r>
      <w:instrText xml:space="preserve"> PAGE  \* Arabic  \* MERGEFORMAT </w:instrText>
    </w:r>
    <w:r>
      <w:fldChar w:fldCharType="separate"/>
    </w:r>
    <w:r w:rsidR="00F9445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4456">
      <w:rPr>
        <w:noProof/>
      </w:rPr>
      <w:t>5</w:t>
    </w:r>
    <w:r>
      <w:rPr>
        <w:noProof/>
      </w:rPr>
      <w:fldChar w:fldCharType="end"/>
    </w:r>
  </w:p>
  <w:p w:rsidR="00F86727" w:rsidP="00F86727">
    <w:pPr>
      <w:pStyle w:val="Footer"/>
      <w:framePr w:wrap="around"/>
    </w:pPr>
    <w:r>
      <w:t xml:space="preserve">© Commonwealth of Australia, </w:t>
    </w:r>
    <w:r>
      <w:fldChar w:fldCharType="begin"/>
    </w:r>
    <w:r>
      <w:instrText xml:space="preserve"> DATE  \@ "yyyy"  \* MERGEFORMAT </w:instrText>
    </w:r>
    <w:r>
      <w:fldChar w:fldCharType="separate"/>
    </w:r>
    <w:r w:rsidR="00F94456">
      <w:rPr>
        <w:noProof/>
      </w:rPr>
      <w:t>2025</w:t>
    </w:r>
    <w:r>
      <w:fldChar w:fldCharType="end"/>
    </w:r>
    <w:r>
      <w:tab/>
    </w:r>
    <w:r>
      <w:fldChar w:fldCharType="begin"/>
    </w:r>
    <w:r>
      <w:instrText xml:space="preserve"> DOCPROPERTY  Author  \* MERGEFORMAT </w:instrText>
    </w:r>
    <w:r>
      <w:fldChar w:fldCharType="separate"/>
    </w:r>
    <w:r w:rsidR="00F94456">
      <w:t>Manufacturing Industry Skills Alliance</w:t>
    </w:r>
    <w:r w:rsidR="00F94456">
      <w:fldChar w:fldCharType="end"/>
    </w:r>
  </w:p>
  <w:p w:rsidR="00F86727" w:rsidP="00F867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7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4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6727" w:rsidRPr="00F94456" w:rsidP="00F944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7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456" w:rsidRPr="002D2AF8" w:rsidP="00F86727">
    <w:pPr>
      <w:pStyle w:val="Header"/>
      <w:framePr w:wrap="around"/>
    </w:pPr>
    <w:r>
      <w:fldChar w:fldCharType="begin"/>
    </w:r>
    <w:r>
      <w:instrText xml:space="preserve"> TITLE   \* MERGEFORMAT </w:instrText>
    </w:r>
    <w:r>
      <w:fldChar w:fldCharType="separate"/>
    </w:r>
    <w:r>
      <w:t>MEM11004 Undertake dogging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94456" w:rsidP="00F8672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727" w:rsidRPr="002D2AF8" w:rsidP="00F86727">
    <w:pPr>
      <w:pStyle w:val="Header"/>
      <w:framePr w:wrap="around"/>
    </w:pPr>
    <w:r>
      <w:fldChar w:fldCharType="begin"/>
    </w:r>
    <w:r>
      <w:instrText xml:space="preserve"> TITLE   \* MERGEFORMAT </w:instrText>
    </w:r>
    <w:r>
      <w:fldChar w:fldCharType="separate"/>
    </w:r>
    <w:r w:rsidR="00F94456">
      <w:t>MEM11004 Undertake dogging</w:t>
    </w:r>
    <w:r w:rsidR="00F94456">
      <w:fldChar w:fldCharType="end"/>
    </w:r>
    <w:r>
      <w:tab/>
      <w:t xml:space="preserve">Date this document was generated: </w:t>
    </w:r>
    <w:r>
      <w:fldChar w:fldCharType="begin"/>
    </w:r>
    <w:r>
      <w:instrText xml:space="preserve"> CREATEDATE  \@ "d MMMM yyyy"  \* MERGEFORMAT </w:instrText>
    </w:r>
    <w:r>
      <w:fldChar w:fldCharType="separate"/>
    </w:r>
    <w:r w:rsidR="00F94456">
      <w:rPr>
        <w:noProof/>
      </w:rPr>
      <w:t>2 March 2025</w:t>
    </w:r>
    <w:r>
      <w:fldChar w:fldCharType="end"/>
    </w:r>
  </w:p>
  <w:p w:rsidR="00F86727" w:rsidP="00F867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42CC6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ACE2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E621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7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6727"/>
    <w:pPr>
      <w:spacing w:before="360" w:after="60"/>
      <w:outlineLvl w:val="0"/>
    </w:pPr>
    <w:rPr>
      <w:sz w:val="32"/>
    </w:rPr>
  </w:style>
  <w:style w:type="paragraph" w:styleId="Heading2">
    <w:name w:val="heading 2"/>
    <w:basedOn w:val="HeadingBase"/>
    <w:next w:val="BodyText"/>
    <w:link w:val="Heading2Char"/>
    <w:qFormat/>
    <w:rsid w:val="00F86727"/>
    <w:pPr>
      <w:keepLines/>
      <w:spacing w:before="240" w:after="120"/>
      <w:outlineLvl w:val="1"/>
    </w:pPr>
    <w:rPr>
      <w:sz w:val="28"/>
      <w:szCs w:val="40"/>
    </w:rPr>
  </w:style>
  <w:style w:type="paragraph" w:styleId="Heading3">
    <w:name w:val="heading 3"/>
    <w:basedOn w:val="HeadingBase"/>
    <w:next w:val="BodyText"/>
    <w:link w:val="Heading3Char"/>
    <w:qFormat/>
    <w:rsid w:val="00F86727"/>
    <w:pPr>
      <w:spacing w:before="180" w:after="120"/>
      <w:outlineLvl w:val="2"/>
    </w:pPr>
    <w:rPr>
      <w:spacing w:val="-10"/>
      <w:kern w:val="32"/>
    </w:rPr>
  </w:style>
  <w:style w:type="paragraph" w:styleId="Heading4">
    <w:name w:val="heading 4"/>
    <w:basedOn w:val="HeadingBase"/>
    <w:next w:val="BodyText"/>
    <w:link w:val="Heading4Char"/>
    <w:qFormat/>
    <w:rsid w:val="00F86727"/>
    <w:pPr>
      <w:spacing w:before="160" w:after="120"/>
      <w:outlineLvl w:val="3"/>
    </w:pPr>
    <w:rPr>
      <w:sz w:val="22"/>
    </w:rPr>
  </w:style>
  <w:style w:type="paragraph" w:styleId="Heading5">
    <w:name w:val="heading 5"/>
    <w:basedOn w:val="HeadingBase"/>
    <w:next w:val="Normal"/>
    <w:link w:val="Heading5Char"/>
    <w:qFormat/>
    <w:rsid w:val="00F86727"/>
    <w:pPr>
      <w:spacing w:before="80"/>
      <w:outlineLvl w:val="4"/>
    </w:pPr>
    <w:rPr>
      <w:color w:val="918585"/>
      <w:sz w:val="20"/>
    </w:rPr>
  </w:style>
  <w:style w:type="paragraph" w:styleId="Heading6">
    <w:name w:val="heading 6"/>
    <w:basedOn w:val="HeadingBase"/>
    <w:next w:val="Normal"/>
    <w:link w:val="Heading6Char"/>
    <w:qFormat/>
    <w:rsid w:val="00F86727"/>
    <w:pPr>
      <w:spacing w:before="60"/>
      <w:outlineLvl w:val="5"/>
    </w:pPr>
    <w:rPr>
      <w:color w:val="918585"/>
      <w:sz w:val="20"/>
    </w:rPr>
  </w:style>
  <w:style w:type="paragraph" w:styleId="Heading7">
    <w:name w:val="heading 7"/>
    <w:basedOn w:val="Normal"/>
    <w:next w:val="Normal"/>
    <w:link w:val="Heading7Char"/>
    <w:qFormat/>
    <w:rsid w:val="00F86727"/>
    <w:pPr>
      <w:ind w:left="720"/>
      <w:outlineLvl w:val="6"/>
    </w:pPr>
    <w:rPr>
      <w:i/>
    </w:rPr>
  </w:style>
  <w:style w:type="paragraph" w:styleId="Heading8">
    <w:name w:val="heading 8"/>
    <w:basedOn w:val="Normal"/>
    <w:next w:val="Normal"/>
    <w:link w:val="Heading8Char"/>
    <w:qFormat/>
    <w:rsid w:val="00F86727"/>
    <w:pPr>
      <w:ind w:left="720"/>
      <w:outlineLvl w:val="7"/>
    </w:pPr>
    <w:rPr>
      <w:i/>
    </w:rPr>
  </w:style>
  <w:style w:type="paragraph" w:styleId="Heading9">
    <w:name w:val="heading 9"/>
    <w:basedOn w:val="Normal"/>
    <w:next w:val="Normal"/>
    <w:link w:val="Heading9Char"/>
    <w:qFormat/>
    <w:rsid w:val="00F86727"/>
    <w:pPr>
      <w:ind w:left="720"/>
      <w:outlineLvl w:val="8"/>
    </w:pPr>
    <w:rPr>
      <w:i/>
    </w:rPr>
  </w:style>
  <w:style w:type="character" w:default="1" w:styleId="DefaultParagraphFont">
    <w:name w:val="Default Paragraph Font"/>
    <w:uiPriority w:val="1"/>
    <w:unhideWhenUsed/>
    <w:rsid w:val="00F867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6727"/>
  </w:style>
  <w:style w:type="character" w:customStyle="1" w:styleId="Heading1Char">
    <w:name w:val="Heading 1 Char"/>
    <w:basedOn w:val="DefaultParagraphFont"/>
    <w:link w:val="Heading1"/>
    <w:rsid w:val="00F86727"/>
    <w:rPr>
      <w:rFonts w:ascii="Times New Roman" w:eastAsia="Times New Roman" w:hAnsi="Times New Roman" w:cs="Times New Roman"/>
      <w:b/>
      <w:sz w:val="32"/>
      <w:szCs w:val="20"/>
      <w:lang w:eastAsia="en-US"/>
    </w:rPr>
  </w:style>
  <w:style w:type="paragraph" w:styleId="BodyText">
    <w:name w:val="Body Text"/>
    <w:basedOn w:val="Normal"/>
    <w:link w:val="BodyTextChar"/>
    <w:rsid w:val="00F867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6727"/>
    <w:rPr>
      <w:rFonts w:ascii="Times New Roman" w:eastAsia="Times New Roman" w:hAnsi="Times New Roman" w:cs="Times New Roman"/>
      <w:sz w:val="24"/>
      <w:lang w:eastAsia="en-US"/>
    </w:rPr>
  </w:style>
  <w:style w:type="paragraph" w:styleId="ListBullet">
    <w:name w:val="List Bullet"/>
    <w:basedOn w:val="List"/>
    <w:rsid w:val="00F86727"/>
    <w:pPr>
      <w:numPr>
        <w:numId w:val="12"/>
      </w:numPr>
      <w:tabs>
        <w:tab w:val="clear" w:pos="340"/>
      </w:tabs>
      <w:spacing w:before="40" w:after="40"/>
    </w:pPr>
  </w:style>
  <w:style w:type="character" w:customStyle="1" w:styleId="SpecialBold">
    <w:name w:val="Special Bold"/>
    <w:basedOn w:val="DefaultParagraphFont"/>
    <w:rsid w:val="00F86727"/>
    <w:rPr>
      <w:b/>
      <w:spacing w:val="0"/>
    </w:rPr>
  </w:style>
  <w:style w:type="paragraph" w:styleId="ListBullet2">
    <w:name w:val="List Bullet 2"/>
    <w:basedOn w:val="List2"/>
    <w:rsid w:val="00F86727"/>
    <w:pPr>
      <w:numPr>
        <w:numId w:val="13"/>
      </w:numPr>
      <w:tabs>
        <w:tab w:val="clear" w:pos="680"/>
      </w:tabs>
    </w:pPr>
  </w:style>
  <w:style w:type="character" w:styleId="Emphasis">
    <w:name w:val="Emphasis"/>
    <w:basedOn w:val="DefaultParagraphFont"/>
    <w:qFormat/>
    <w:rsid w:val="00F86727"/>
    <w:rPr>
      <w:i/>
    </w:rPr>
  </w:style>
  <w:style w:type="paragraph" w:customStyle="1" w:styleId="SuperHeading">
    <w:name w:val="SuperHeading"/>
    <w:basedOn w:val="Normal"/>
    <w:rsid w:val="00F86727"/>
    <w:pPr>
      <w:spacing w:before="240" w:after="120"/>
      <w:outlineLvl w:val="0"/>
    </w:pPr>
    <w:rPr>
      <w:rFonts w:ascii="Times New Roman" w:hAnsi="Times New Roman"/>
      <w:b/>
      <w:sz w:val="32"/>
    </w:rPr>
  </w:style>
  <w:style w:type="paragraph" w:customStyle="1" w:styleId="AllowPageBreak">
    <w:name w:val="AllowPageBreak"/>
    <w:rsid w:val="00F867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67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67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67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67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67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67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67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6727"/>
    <w:rPr>
      <w:rFonts w:ascii="Courier New" w:eastAsia="Times New Roman" w:hAnsi="Courier New" w:cs="Times New Roman"/>
      <w:i/>
      <w:szCs w:val="20"/>
      <w:lang w:eastAsia="en-US"/>
    </w:rPr>
  </w:style>
  <w:style w:type="paragraph" w:customStyle="1" w:styleId="HeadingBase">
    <w:name w:val="Heading Base"/>
    <w:rsid w:val="00F867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6727"/>
    <w:pPr>
      <w:tabs>
        <w:tab w:val="right" w:leader="dot" w:pos="9072"/>
      </w:tabs>
      <w:ind w:left="567"/>
    </w:pPr>
    <w:rPr>
      <w:szCs w:val="22"/>
    </w:rPr>
  </w:style>
  <w:style w:type="paragraph" w:customStyle="1" w:styleId="TOCBase">
    <w:name w:val="TOC Base"/>
    <w:rsid w:val="00F867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6727"/>
    <w:pPr>
      <w:tabs>
        <w:tab w:val="right" w:leader="dot" w:pos="9072"/>
      </w:tabs>
      <w:spacing w:before="40" w:after="40"/>
      <w:ind w:left="284"/>
    </w:pPr>
    <w:rPr>
      <w:rFonts w:ascii="Times New Roman" w:hAnsi="Times New Roman"/>
    </w:rPr>
  </w:style>
  <w:style w:type="paragraph" w:styleId="TOC1">
    <w:name w:val="toc 1"/>
    <w:basedOn w:val="TOCBase"/>
    <w:next w:val="Normal"/>
    <w:rsid w:val="00F867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67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6727"/>
    <w:rPr>
      <w:rFonts w:ascii="Times New Roman" w:eastAsia="Times New Roman" w:hAnsi="Times New Roman" w:cs="Times New Roman"/>
      <w:sz w:val="16"/>
      <w:lang w:eastAsia="en-US"/>
    </w:rPr>
  </w:style>
  <w:style w:type="paragraph" w:styleId="Title">
    <w:name w:val="Title"/>
    <w:basedOn w:val="HeadingBase"/>
    <w:link w:val="TitleChar"/>
    <w:qFormat/>
    <w:rsid w:val="00F86727"/>
    <w:pPr>
      <w:spacing w:before="5040"/>
      <w:jc w:val="center"/>
    </w:pPr>
    <w:rPr>
      <w:sz w:val="48"/>
      <w:szCs w:val="72"/>
      <w:lang w:val="en-US"/>
    </w:rPr>
  </w:style>
  <w:style w:type="character" w:customStyle="1" w:styleId="TitleChar">
    <w:name w:val="Title Char"/>
    <w:basedOn w:val="DefaultParagraphFont"/>
    <w:link w:val="Title"/>
    <w:rsid w:val="00F867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6727"/>
    <w:pPr>
      <w:tabs>
        <w:tab w:val="left" w:pos="3600"/>
        <w:tab w:val="left" w:pos="3958"/>
      </w:tabs>
    </w:pPr>
  </w:style>
  <w:style w:type="paragraph" w:styleId="List">
    <w:name w:val="List"/>
    <w:basedOn w:val="BodyText"/>
    <w:next w:val="BodyText"/>
    <w:rsid w:val="00F86727"/>
    <w:pPr>
      <w:tabs>
        <w:tab w:val="left" w:pos="340"/>
      </w:tabs>
      <w:spacing w:before="60" w:after="60"/>
      <w:ind w:left="340" w:hanging="340"/>
    </w:pPr>
  </w:style>
  <w:style w:type="paragraph" w:customStyle="1" w:styleId="Note">
    <w:name w:val="Note"/>
    <w:basedOn w:val="BodyText"/>
    <w:rsid w:val="00F867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6727"/>
    <w:pPr>
      <w:framePr w:wrap="auto" w:hAnchor="text" w:y="6049"/>
    </w:pPr>
    <w:rPr>
      <w:color w:val="000000"/>
      <w:sz w:val="40"/>
    </w:rPr>
  </w:style>
  <w:style w:type="paragraph" w:customStyle="1" w:styleId="TOCTitle">
    <w:name w:val="TOCTitle"/>
    <w:basedOn w:val="Heading1"/>
    <w:rsid w:val="00F86727"/>
    <w:pPr>
      <w:spacing w:after="240"/>
      <w:jc w:val="center"/>
      <w:outlineLvl w:val="9"/>
    </w:pPr>
    <w:rPr>
      <w:caps/>
    </w:rPr>
  </w:style>
  <w:style w:type="paragraph" w:customStyle="1" w:styleId="Version">
    <w:name w:val="Version"/>
    <w:rsid w:val="00F8672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6727"/>
    <w:pPr>
      <w:keepNext w:val="0"/>
      <w:tabs>
        <w:tab w:val="right" w:pos="4176"/>
      </w:tabs>
      <w:ind w:left="198" w:hanging="198"/>
    </w:pPr>
    <w:rPr>
      <w:rFonts w:ascii="Garamond" w:hAnsi="Garamond"/>
    </w:rPr>
  </w:style>
  <w:style w:type="paragraph" w:styleId="IndexHeading">
    <w:name w:val="index heading"/>
    <w:basedOn w:val="Normal"/>
    <w:next w:val="Index1"/>
    <w:semiHidden/>
    <w:rsid w:val="00F86727"/>
    <w:pPr>
      <w:spacing w:before="120" w:after="120"/>
    </w:pPr>
    <w:rPr>
      <w:rFonts w:ascii="Arial" w:hAnsi="Arial"/>
      <w:b/>
      <w:color w:val="918585"/>
      <w:sz w:val="24"/>
    </w:rPr>
  </w:style>
  <w:style w:type="paragraph" w:styleId="Header">
    <w:name w:val="header"/>
    <w:basedOn w:val="Normal"/>
    <w:link w:val="HeaderChar"/>
    <w:rsid w:val="00F867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6727"/>
    <w:rPr>
      <w:rFonts w:ascii="Times New Roman" w:eastAsia="Times New Roman" w:hAnsi="Times New Roman" w:cs="Times New Roman"/>
      <w:sz w:val="16"/>
      <w:szCs w:val="20"/>
      <w:lang w:val="en-GB" w:eastAsia="en-US"/>
    </w:rPr>
  </w:style>
  <w:style w:type="paragraph" w:customStyle="1" w:styleId="Chapter">
    <w:name w:val="Chapter"/>
    <w:basedOn w:val="Normal"/>
    <w:rsid w:val="00F86727"/>
    <w:pPr>
      <w:spacing w:before="240"/>
    </w:pPr>
    <w:rPr>
      <w:rFonts w:ascii="Times New Roman" w:hAnsi="Times New Roman"/>
      <w:smallCaps/>
      <w:spacing w:val="80"/>
      <w:sz w:val="28"/>
    </w:rPr>
  </w:style>
  <w:style w:type="paragraph" w:customStyle="1" w:styleId="InChapter">
    <w:name w:val="InChapter"/>
    <w:basedOn w:val="Heading3"/>
    <w:rsid w:val="00F86727"/>
    <w:pPr>
      <w:spacing w:after="240"/>
      <w:outlineLvl w:val="9"/>
    </w:pPr>
    <w:rPr>
      <w:noProof/>
    </w:rPr>
  </w:style>
  <w:style w:type="paragraph" w:styleId="Index2">
    <w:name w:val="index 2"/>
    <w:basedOn w:val="Normal"/>
    <w:next w:val="Normal"/>
    <w:semiHidden/>
    <w:rsid w:val="00F86727"/>
    <w:pPr>
      <w:tabs>
        <w:tab w:val="right" w:pos="4176"/>
      </w:tabs>
      <w:ind w:left="568" w:hanging="284"/>
    </w:pPr>
    <w:rPr>
      <w:rFonts w:ascii="Garamond" w:hAnsi="Garamond"/>
    </w:rPr>
  </w:style>
  <w:style w:type="paragraph" w:customStyle="1" w:styleId="Byline">
    <w:name w:val="Byline"/>
    <w:rsid w:val="00F867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6727"/>
    <w:pPr>
      <w:tabs>
        <w:tab w:val="clear" w:pos="3600"/>
        <w:tab w:val="clear" w:pos="3958"/>
      </w:tabs>
      <w:jc w:val="right"/>
    </w:pPr>
  </w:style>
  <w:style w:type="paragraph" w:styleId="Caption">
    <w:name w:val="caption"/>
    <w:basedOn w:val="BodyText"/>
    <w:next w:val="Normal"/>
    <w:qFormat/>
    <w:rsid w:val="00F86727"/>
    <w:pPr>
      <w:framePr w:w="2268" w:hSpace="181" w:vSpace="181" w:wrap="around" w:vAnchor="text" w:hAnchor="page" w:x="1135" w:y="285" w:anchorLock="1"/>
    </w:pPr>
    <w:rPr>
      <w:i/>
    </w:rPr>
  </w:style>
  <w:style w:type="paragraph" w:customStyle="1" w:styleId="MiniTOCTitle">
    <w:name w:val="MiniTOCTitle"/>
    <w:basedOn w:val="Heading4"/>
    <w:rsid w:val="00F86727"/>
    <w:pPr>
      <w:spacing w:before="240"/>
      <w:outlineLvl w:val="9"/>
    </w:pPr>
    <w:rPr>
      <w:noProof/>
      <w:sz w:val="24"/>
    </w:rPr>
  </w:style>
  <w:style w:type="paragraph" w:customStyle="1" w:styleId="MiniTOCItem">
    <w:name w:val="MiniTOCItem"/>
    <w:basedOn w:val="ListBullet"/>
    <w:rsid w:val="00F86727"/>
    <w:pPr>
      <w:numPr>
        <w:numId w:val="0"/>
      </w:numPr>
      <w:tabs>
        <w:tab w:val="right" w:leader="dot" w:pos="6521"/>
      </w:tabs>
      <w:spacing w:before="0" w:after="0"/>
    </w:pPr>
  </w:style>
  <w:style w:type="paragraph" w:customStyle="1" w:styleId="TOFTitle">
    <w:name w:val="TOFTitle"/>
    <w:basedOn w:val="TOCTitle"/>
    <w:rsid w:val="00F86727"/>
  </w:style>
  <w:style w:type="paragraph" w:styleId="TableofFigures">
    <w:name w:val="table of figures"/>
    <w:basedOn w:val="Normal"/>
    <w:next w:val="Normal"/>
    <w:semiHidden/>
    <w:rsid w:val="00F86727"/>
    <w:pPr>
      <w:tabs>
        <w:tab w:val="right" w:leader="dot" w:pos="9072"/>
      </w:tabs>
      <w:ind w:left="970" w:hanging="403"/>
    </w:pPr>
    <w:rPr>
      <w:rFonts w:ascii="Times New Roman" w:hAnsi="Times New Roman"/>
      <w:b/>
    </w:rPr>
  </w:style>
  <w:style w:type="paragraph" w:styleId="ListNumber">
    <w:name w:val="List Number"/>
    <w:basedOn w:val="List"/>
    <w:rsid w:val="00F86727"/>
    <w:pPr>
      <w:numPr>
        <w:numId w:val="15"/>
      </w:numPr>
      <w:tabs>
        <w:tab w:val="clear" w:pos="340"/>
      </w:tabs>
    </w:pPr>
  </w:style>
  <w:style w:type="character" w:customStyle="1" w:styleId="WingdingSymbols">
    <w:name w:val="Wingding Symbols"/>
    <w:rsid w:val="00F86727"/>
    <w:rPr>
      <w:rFonts w:ascii="Wingdings" w:hAnsi="Wingdings"/>
    </w:rPr>
  </w:style>
  <w:style w:type="paragraph" w:customStyle="1" w:styleId="TableHeading">
    <w:name w:val="Table Heading"/>
    <w:basedOn w:val="HeadingBase"/>
    <w:rsid w:val="00F86727"/>
    <w:pPr>
      <w:keepLines/>
      <w:pBdr>
        <w:bottom w:val="single" w:sz="6" w:space="1" w:color="918585"/>
      </w:pBdr>
      <w:spacing w:before="240"/>
    </w:pPr>
  </w:style>
  <w:style w:type="character" w:customStyle="1" w:styleId="HotSpot">
    <w:name w:val="HotSpot"/>
    <w:rsid w:val="00F86727"/>
    <w:rPr>
      <w:color w:val="0033CC"/>
      <w:u w:val="none"/>
    </w:rPr>
  </w:style>
  <w:style w:type="paragraph" w:customStyle="1" w:styleId="BodyTextRight">
    <w:name w:val="Body Text Right"/>
    <w:basedOn w:val="BodyText"/>
    <w:rsid w:val="00F86727"/>
    <w:pPr>
      <w:spacing w:before="0" w:after="0"/>
      <w:jc w:val="right"/>
    </w:pPr>
  </w:style>
  <w:style w:type="paragraph" w:styleId="Index3">
    <w:name w:val="index 3"/>
    <w:basedOn w:val="ListNumber2"/>
    <w:next w:val="Normal"/>
    <w:semiHidden/>
    <w:rsid w:val="00F86727"/>
    <w:pPr>
      <w:numPr>
        <w:numId w:val="0"/>
      </w:numPr>
      <w:tabs>
        <w:tab w:val="right" w:leader="dot" w:pos="4176"/>
      </w:tabs>
    </w:pPr>
  </w:style>
  <w:style w:type="paragraph" w:styleId="ListNumber2">
    <w:name w:val="List Number 2"/>
    <w:basedOn w:val="List2"/>
    <w:rsid w:val="00F86727"/>
    <w:pPr>
      <w:numPr>
        <w:numId w:val="10"/>
      </w:numPr>
      <w:tabs>
        <w:tab w:val="clear" w:pos="1060"/>
      </w:tabs>
    </w:pPr>
  </w:style>
  <w:style w:type="paragraph" w:customStyle="1" w:styleId="MarginNote">
    <w:name w:val="Margin Note"/>
    <w:basedOn w:val="BodyText"/>
    <w:rsid w:val="00F867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67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67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6727"/>
    <w:rPr>
      <w:sz w:val="32"/>
    </w:rPr>
  </w:style>
  <w:style w:type="paragraph" w:customStyle="1" w:styleId="HeadingProcedure">
    <w:name w:val="Heading Procedure"/>
    <w:basedOn w:val="HeadingBase"/>
    <w:next w:val="Normal"/>
    <w:rsid w:val="00F86727"/>
    <w:pPr>
      <w:tabs>
        <w:tab w:val="left" w:pos="0"/>
      </w:tabs>
      <w:spacing w:before="120" w:after="60"/>
    </w:pPr>
    <w:rPr>
      <w:i/>
      <w:color w:val="918585"/>
      <w:sz w:val="22"/>
    </w:rPr>
  </w:style>
  <w:style w:type="paragraph" w:customStyle="1" w:styleId="TableBodyText">
    <w:name w:val="Table Body Text"/>
    <w:basedOn w:val="BodyText"/>
    <w:rsid w:val="00F86727"/>
    <w:pPr>
      <w:spacing w:before="60" w:after="60"/>
    </w:pPr>
  </w:style>
  <w:style w:type="paragraph" w:styleId="ListContinue">
    <w:name w:val="List Continue"/>
    <w:basedOn w:val="List"/>
    <w:rsid w:val="00F86727"/>
    <w:pPr>
      <w:ind w:firstLine="0"/>
    </w:pPr>
  </w:style>
  <w:style w:type="paragraph" w:customStyle="1" w:styleId="ListNote">
    <w:name w:val="List Note"/>
    <w:basedOn w:val="List"/>
    <w:rsid w:val="00F86727"/>
    <w:pPr>
      <w:pBdr>
        <w:top w:val="single" w:sz="6" w:space="2" w:color="918585"/>
        <w:bottom w:val="single" w:sz="6" w:space="2" w:color="918585"/>
      </w:pBdr>
      <w:tabs>
        <w:tab w:val="left" w:pos="1021"/>
      </w:tabs>
      <w:ind w:firstLine="0"/>
    </w:pPr>
  </w:style>
  <w:style w:type="paragraph" w:customStyle="1" w:styleId="Warning">
    <w:name w:val="Warning"/>
    <w:basedOn w:val="BodyText"/>
    <w:rsid w:val="00F86727"/>
    <w:pPr>
      <w:shd w:val="clear" w:color="auto" w:fill="D9D9D9"/>
      <w:tabs>
        <w:tab w:val="left" w:pos="992"/>
      </w:tabs>
      <w:ind w:left="119" w:right="119"/>
    </w:pPr>
    <w:rPr>
      <w:sz w:val="20"/>
    </w:rPr>
  </w:style>
  <w:style w:type="paragraph" w:customStyle="1" w:styleId="MarginIcons">
    <w:name w:val="Margin Icons"/>
    <w:basedOn w:val="BodyText"/>
    <w:rsid w:val="00F867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6727"/>
    <w:rPr>
      <w:rFonts w:ascii="Courier New" w:hAnsi="Courier New"/>
    </w:rPr>
  </w:style>
  <w:style w:type="paragraph" w:customStyle="1" w:styleId="NoteBullet">
    <w:name w:val="Note Bullet"/>
    <w:basedOn w:val="Note"/>
    <w:rsid w:val="00F86727"/>
    <w:pPr>
      <w:tabs>
        <w:tab w:val="clear" w:pos="680"/>
      </w:tabs>
      <w:spacing w:before="60" w:after="60"/>
    </w:pPr>
  </w:style>
  <w:style w:type="paragraph" w:customStyle="1" w:styleId="SubHeading2">
    <w:name w:val="SubHeading2"/>
    <w:basedOn w:val="HeadingBase"/>
    <w:rsid w:val="00F86727"/>
    <w:pPr>
      <w:spacing w:before="240" w:after="60"/>
    </w:pPr>
    <w:rPr>
      <w:sz w:val="20"/>
    </w:rPr>
  </w:style>
  <w:style w:type="paragraph" w:customStyle="1" w:styleId="SubHeading1">
    <w:name w:val="SubHeading1"/>
    <w:basedOn w:val="HeadingBase"/>
    <w:rsid w:val="00F86727"/>
    <w:pPr>
      <w:spacing w:before="240" w:after="60"/>
    </w:pPr>
    <w:rPr>
      <w:color w:val="918585"/>
      <w:sz w:val="22"/>
    </w:rPr>
  </w:style>
  <w:style w:type="paragraph" w:customStyle="1" w:styleId="SideHeading">
    <w:name w:val="Side Heading"/>
    <w:basedOn w:val="HeadingBase"/>
    <w:rsid w:val="00F867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6727"/>
    <w:pPr>
      <w:tabs>
        <w:tab w:val="num" w:pos="360"/>
      </w:tabs>
    </w:pPr>
  </w:style>
  <w:style w:type="paragraph" w:styleId="PlainText">
    <w:name w:val="Plain Text"/>
    <w:basedOn w:val="Normal"/>
    <w:link w:val="PlainTextChar"/>
    <w:rsid w:val="00F86727"/>
    <w:rPr>
      <w:sz w:val="20"/>
    </w:rPr>
  </w:style>
  <w:style w:type="character" w:customStyle="1" w:styleId="PlainTextChar">
    <w:name w:val="Plain Text Char"/>
    <w:basedOn w:val="DefaultParagraphFont"/>
    <w:link w:val="PlainText"/>
    <w:rsid w:val="00F86727"/>
    <w:rPr>
      <w:rFonts w:ascii="Courier New" w:eastAsia="Times New Roman" w:hAnsi="Courier New" w:cs="Times New Roman"/>
      <w:sz w:val="20"/>
      <w:szCs w:val="20"/>
      <w:lang w:eastAsia="en-US"/>
    </w:rPr>
  </w:style>
  <w:style w:type="character" w:customStyle="1" w:styleId="MenuOption">
    <w:name w:val="Menu Option"/>
    <w:basedOn w:val="DefaultParagraphFont"/>
    <w:rsid w:val="00F86727"/>
    <w:rPr>
      <w:b/>
      <w:smallCaps/>
    </w:rPr>
  </w:style>
  <w:style w:type="paragraph" w:customStyle="1" w:styleId="TableListNumber">
    <w:name w:val="Table List Number"/>
    <w:basedOn w:val="ListNumber"/>
    <w:rsid w:val="00F86727"/>
    <w:pPr>
      <w:numPr>
        <w:numId w:val="0"/>
      </w:numPr>
    </w:pPr>
  </w:style>
  <w:style w:type="paragraph" w:styleId="TOC4">
    <w:name w:val="toc 4"/>
    <w:basedOn w:val="TOCBase"/>
    <w:next w:val="Normal"/>
    <w:semiHidden/>
    <w:rsid w:val="00F86727"/>
    <w:pPr>
      <w:tabs>
        <w:tab w:val="right" w:leader="dot" w:pos="9071"/>
      </w:tabs>
      <w:ind w:left="1701"/>
    </w:pPr>
  </w:style>
  <w:style w:type="paragraph" w:customStyle="1" w:styleId="ListAlpha">
    <w:name w:val="List Alpha"/>
    <w:basedOn w:val="List"/>
    <w:rsid w:val="00F86727"/>
    <w:pPr>
      <w:numPr>
        <w:numId w:val="9"/>
      </w:numPr>
    </w:pPr>
  </w:style>
  <w:style w:type="paragraph" w:customStyle="1" w:styleId="ListAlpha2">
    <w:name w:val="List Alpha 2"/>
    <w:basedOn w:val="List2"/>
    <w:rsid w:val="00F86727"/>
    <w:pPr>
      <w:numPr>
        <w:numId w:val="8"/>
      </w:numPr>
    </w:pPr>
  </w:style>
  <w:style w:type="paragraph" w:styleId="List2">
    <w:name w:val="List 2"/>
    <w:basedOn w:val="BodyText"/>
    <w:rsid w:val="00F86727"/>
    <w:pPr>
      <w:tabs>
        <w:tab w:val="left" w:pos="680"/>
      </w:tabs>
      <w:spacing w:before="60" w:after="60"/>
      <w:ind w:left="680" w:hanging="340"/>
    </w:pPr>
  </w:style>
  <w:style w:type="paragraph" w:styleId="List3">
    <w:name w:val="List 3"/>
    <w:basedOn w:val="BodyText"/>
    <w:rsid w:val="00F86727"/>
    <w:pPr>
      <w:tabs>
        <w:tab w:val="left" w:pos="1021"/>
      </w:tabs>
      <w:spacing w:before="60" w:after="60"/>
      <w:ind w:left="1020" w:hanging="340"/>
    </w:pPr>
  </w:style>
  <w:style w:type="paragraph" w:styleId="List4">
    <w:name w:val="List 4"/>
    <w:basedOn w:val="BodyText"/>
    <w:rsid w:val="00F86727"/>
    <w:pPr>
      <w:tabs>
        <w:tab w:val="left" w:pos="1361"/>
      </w:tabs>
      <w:spacing w:before="60" w:after="60"/>
      <w:ind w:left="1361" w:hanging="340"/>
    </w:pPr>
  </w:style>
  <w:style w:type="paragraph" w:styleId="List5">
    <w:name w:val="List 5"/>
    <w:basedOn w:val="BodyText"/>
    <w:rsid w:val="00F86727"/>
    <w:pPr>
      <w:tabs>
        <w:tab w:val="left" w:pos="1701"/>
      </w:tabs>
      <w:spacing w:before="60" w:after="60"/>
      <w:ind w:left="1701" w:hanging="340"/>
    </w:pPr>
  </w:style>
  <w:style w:type="paragraph" w:styleId="ListBullet3">
    <w:name w:val="List Bullet 3"/>
    <w:basedOn w:val="List3"/>
    <w:rsid w:val="00F86727"/>
    <w:pPr>
      <w:numPr>
        <w:numId w:val="14"/>
      </w:numPr>
      <w:tabs>
        <w:tab w:val="clear" w:pos="1021"/>
      </w:tabs>
      <w:ind w:left="1037" w:hanging="357"/>
    </w:pPr>
  </w:style>
  <w:style w:type="paragraph" w:styleId="ListBullet4">
    <w:name w:val="List Bullet 4"/>
    <w:basedOn w:val="List4"/>
    <w:rsid w:val="00F86727"/>
    <w:pPr>
      <w:numPr>
        <w:numId w:val="3"/>
      </w:numPr>
      <w:tabs>
        <w:tab w:val="clear" w:pos="1361"/>
      </w:tabs>
    </w:pPr>
  </w:style>
  <w:style w:type="paragraph" w:styleId="ListBullet5">
    <w:name w:val="List Bullet 5"/>
    <w:basedOn w:val="List5"/>
    <w:rsid w:val="00F86727"/>
    <w:pPr>
      <w:numPr>
        <w:numId w:val="4"/>
      </w:numPr>
    </w:pPr>
  </w:style>
  <w:style w:type="paragraph" w:styleId="ListContinue2">
    <w:name w:val="List Continue 2"/>
    <w:basedOn w:val="List2"/>
    <w:rsid w:val="00F86727"/>
    <w:pPr>
      <w:ind w:firstLine="0"/>
    </w:pPr>
  </w:style>
  <w:style w:type="paragraph" w:styleId="ListContinue3">
    <w:name w:val="List Continue 3"/>
    <w:basedOn w:val="List3"/>
    <w:rsid w:val="00F86727"/>
    <w:pPr>
      <w:ind w:left="1021" w:firstLine="0"/>
    </w:pPr>
  </w:style>
  <w:style w:type="paragraph" w:styleId="ListContinue4">
    <w:name w:val="List Continue 4"/>
    <w:basedOn w:val="List4"/>
    <w:rsid w:val="00F86727"/>
    <w:pPr>
      <w:ind w:firstLine="0"/>
    </w:pPr>
  </w:style>
  <w:style w:type="paragraph" w:styleId="ListContinue5">
    <w:name w:val="List Continue 5"/>
    <w:basedOn w:val="List5"/>
    <w:rsid w:val="00F86727"/>
    <w:pPr>
      <w:ind w:firstLine="0"/>
    </w:pPr>
  </w:style>
  <w:style w:type="paragraph" w:styleId="ListNumber3">
    <w:name w:val="List Number 3"/>
    <w:basedOn w:val="List3"/>
    <w:rsid w:val="00F86727"/>
    <w:pPr>
      <w:numPr>
        <w:numId w:val="5"/>
      </w:numPr>
    </w:pPr>
  </w:style>
  <w:style w:type="paragraph" w:styleId="ListNumber4">
    <w:name w:val="List Number 4"/>
    <w:basedOn w:val="List4"/>
    <w:rsid w:val="00F86727"/>
    <w:pPr>
      <w:numPr>
        <w:numId w:val="6"/>
      </w:numPr>
    </w:pPr>
  </w:style>
  <w:style w:type="paragraph" w:styleId="ListNumber5">
    <w:name w:val="List Number 5"/>
    <w:basedOn w:val="List5"/>
    <w:rsid w:val="00F86727"/>
    <w:pPr>
      <w:numPr>
        <w:numId w:val="7"/>
      </w:numPr>
    </w:pPr>
  </w:style>
  <w:style w:type="paragraph" w:styleId="BlockText">
    <w:name w:val="Block Text"/>
    <w:basedOn w:val="Normal"/>
    <w:rsid w:val="00F86727"/>
    <w:pPr>
      <w:spacing w:after="120"/>
      <w:ind w:left="1440" w:right="1440"/>
    </w:pPr>
  </w:style>
  <w:style w:type="character" w:customStyle="1" w:styleId="Subscript">
    <w:name w:val="Subscript"/>
    <w:basedOn w:val="DefaultParagraphFont"/>
    <w:rsid w:val="00F86727"/>
    <w:rPr>
      <w:sz w:val="16"/>
      <w:vertAlign w:val="subscript"/>
    </w:rPr>
  </w:style>
  <w:style w:type="character" w:customStyle="1" w:styleId="Superscript">
    <w:name w:val="Superscript"/>
    <w:basedOn w:val="DefaultParagraphFont"/>
    <w:rsid w:val="00F86727"/>
    <w:rPr>
      <w:sz w:val="16"/>
      <w:vertAlign w:val="superscript"/>
    </w:rPr>
  </w:style>
  <w:style w:type="character" w:customStyle="1" w:styleId="Symbols">
    <w:name w:val="Symbols"/>
    <w:basedOn w:val="DefaultParagraphFont"/>
    <w:rsid w:val="00F86727"/>
    <w:rPr>
      <w:rFonts w:ascii="Symbol" w:hAnsi="Symbol"/>
    </w:rPr>
  </w:style>
  <w:style w:type="character" w:customStyle="1" w:styleId="MenuOptions">
    <w:name w:val="Menu Options"/>
    <w:basedOn w:val="DefaultParagraphFont"/>
    <w:rsid w:val="00F86727"/>
    <w:rPr>
      <w:rFonts w:ascii="Arial Narrow" w:hAnsi="Arial Narrow"/>
      <w:smallCaps/>
    </w:rPr>
  </w:style>
  <w:style w:type="character" w:customStyle="1" w:styleId="Buttons">
    <w:name w:val="Buttons"/>
    <w:basedOn w:val="DefaultParagraphFont"/>
    <w:rsid w:val="00F86727"/>
    <w:rPr>
      <w:b/>
    </w:rPr>
  </w:style>
  <w:style w:type="character" w:customStyle="1" w:styleId="Underlined">
    <w:name w:val="Underlined"/>
    <w:basedOn w:val="DefaultParagraphFont"/>
    <w:rsid w:val="00F86727"/>
    <w:rPr>
      <w:u w:val="single"/>
    </w:rPr>
  </w:style>
  <w:style w:type="paragraph" w:customStyle="1" w:styleId="TableBodyTextRight">
    <w:name w:val="Table Body Text Right"/>
    <w:basedOn w:val="TableBodyText"/>
    <w:rsid w:val="00F86727"/>
    <w:pPr>
      <w:widowControl w:val="0"/>
      <w:autoSpaceDE w:val="0"/>
      <w:autoSpaceDN w:val="0"/>
      <w:adjustRightInd w:val="0"/>
      <w:jc w:val="right"/>
    </w:pPr>
    <w:rPr>
      <w:rFonts w:cs="Arial"/>
      <w:szCs w:val="18"/>
    </w:rPr>
  </w:style>
  <w:style w:type="paragraph" w:customStyle="1" w:styleId="CopyrightText">
    <w:name w:val="Copyright Text"/>
    <w:basedOn w:val="BodyText"/>
    <w:rsid w:val="00F86727"/>
    <w:rPr>
      <w:sz w:val="18"/>
    </w:rPr>
  </w:style>
  <w:style w:type="paragraph" w:customStyle="1" w:styleId="BodySmallRight">
    <w:name w:val="Body Small Right"/>
    <w:basedOn w:val="BodyTextRight"/>
    <w:rsid w:val="00F86727"/>
    <w:rPr>
      <w:sz w:val="18"/>
      <w:szCs w:val="18"/>
    </w:rPr>
  </w:style>
  <w:style w:type="paragraph" w:customStyle="1" w:styleId="MarginEdition">
    <w:name w:val="Margin Edition"/>
    <w:basedOn w:val="MarginNote"/>
    <w:rsid w:val="00F86727"/>
    <w:pPr>
      <w:spacing w:before="0" w:after="0"/>
    </w:pPr>
    <w:rPr>
      <w:rFonts w:ascii="Times New Roman" w:hAnsi="Times New Roman"/>
      <w:color w:val="999999"/>
    </w:rPr>
  </w:style>
  <w:style w:type="paragraph" w:customStyle="1" w:styleId="Spacer">
    <w:name w:val="Spacer"/>
    <w:basedOn w:val="Normal"/>
    <w:rsid w:val="00F86727"/>
    <w:rPr>
      <w:sz w:val="2"/>
      <w:szCs w:val="2"/>
    </w:rPr>
  </w:style>
  <w:style w:type="character" w:customStyle="1" w:styleId="Small">
    <w:name w:val="Small"/>
    <w:basedOn w:val="DefaultParagraphFont"/>
    <w:rsid w:val="00F86727"/>
    <w:rPr>
      <w:sz w:val="16"/>
    </w:rPr>
  </w:style>
  <w:style w:type="paragraph" w:customStyle="1" w:styleId="WideTable">
    <w:name w:val="Wide Table"/>
    <w:basedOn w:val="Normal"/>
    <w:rsid w:val="00F86727"/>
    <w:pPr>
      <w:ind w:left="-1418"/>
    </w:pPr>
    <w:rPr>
      <w:sz w:val="2"/>
      <w:szCs w:val="2"/>
    </w:rPr>
  </w:style>
  <w:style w:type="character" w:styleId="PageNumber">
    <w:name w:val="page number"/>
    <w:basedOn w:val="DefaultParagraphFont"/>
    <w:rsid w:val="00F86727"/>
  </w:style>
  <w:style w:type="paragraph" w:styleId="Quote">
    <w:name w:val="Quote"/>
    <w:basedOn w:val="Heading1"/>
    <w:link w:val="QuoteChar"/>
    <w:qFormat/>
    <w:rsid w:val="00F86727"/>
    <w:rPr>
      <w:b w:val="0"/>
      <w:sz w:val="72"/>
      <w:szCs w:val="72"/>
      <w:lang w:val="en-NZ"/>
    </w:rPr>
  </w:style>
  <w:style w:type="character" w:customStyle="1" w:styleId="QuoteChar">
    <w:name w:val="Quote Char"/>
    <w:basedOn w:val="DefaultParagraphFont"/>
    <w:link w:val="Quote"/>
    <w:rsid w:val="00F867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6727"/>
    <w:pPr>
      <w:pageBreakBefore/>
    </w:pPr>
  </w:style>
  <w:style w:type="paragraph" w:customStyle="1" w:styleId="Border">
    <w:name w:val="Border"/>
    <w:basedOn w:val="Normal"/>
    <w:qFormat/>
    <w:rsid w:val="00F867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6727"/>
    <w:rPr>
      <w:b/>
      <w:bCs/>
      <w:i/>
      <w:iCs/>
      <w:color w:val="auto"/>
    </w:rPr>
  </w:style>
  <w:style w:type="paragraph" w:styleId="IntenseQuote">
    <w:name w:val="Intense Quote"/>
    <w:basedOn w:val="Normal"/>
    <w:next w:val="Normal"/>
    <w:link w:val="IntenseQuoteChar"/>
    <w:uiPriority w:val="30"/>
    <w:qFormat/>
    <w:rsid w:val="00F867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67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6727"/>
    <w:rPr>
      <w:smallCaps/>
      <w:color w:val="auto"/>
      <w:u w:val="single"/>
    </w:rPr>
  </w:style>
  <w:style w:type="character" w:styleId="IntenseReference">
    <w:name w:val="Intense Reference"/>
    <w:basedOn w:val="DefaultParagraphFont"/>
    <w:uiPriority w:val="32"/>
    <w:qFormat/>
    <w:rsid w:val="00F86727"/>
    <w:rPr>
      <w:b/>
      <w:bCs/>
      <w:smallCaps/>
      <w:color w:val="auto"/>
      <w:spacing w:val="5"/>
      <w:u w:val="single"/>
    </w:rPr>
  </w:style>
  <w:style w:type="paragraph" w:customStyle="1" w:styleId="2ColumnHeading">
    <w:name w:val="2Column Heading"/>
    <w:basedOn w:val="BodyText"/>
    <w:qFormat/>
    <w:rsid w:val="00F86727"/>
    <w:pPr>
      <w:spacing w:after="60"/>
      <w:ind w:left="-2268"/>
    </w:pPr>
    <w:rPr>
      <w:b/>
    </w:rPr>
  </w:style>
  <w:style w:type="paragraph" w:customStyle="1" w:styleId="Heading1TOC">
    <w:name w:val="Heading1 TOC"/>
    <w:basedOn w:val="Normal"/>
    <w:qFormat/>
    <w:rsid w:val="00F86727"/>
    <w:pPr>
      <w:spacing w:before="240" w:after="120"/>
    </w:pPr>
    <w:rPr>
      <w:rFonts w:ascii="Times New Roman" w:hAnsi="Times New Roman"/>
      <w:b/>
      <w:sz w:val="32"/>
    </w:rPr>
  </w:style>
  <w:style w:type="paragraph" w:customStyle="1" w:styleId="Heading2TOC">
    <w:name w:val="Heading2 TOC"/>
    <w:basedOn w:val="Normal"/>
    <w:qFormat/>
    <w:rsid w:val="00F86727"/>
    <w:pPr>
      <w:spacing w:before="240" w:after="60"/>
    </w:pPr>
    <w:rPr>
      <w:rFonts w:ascii="Times New Roman" w:hAnsi="Times New Roman"/>
      <w:b/>
      <w:sz w:val="28"/>
    </w:rPr>
  </w:style>
  <w:style w:type="character" w:customStyle="1" w:styleId="Underline">
    <w:name w:val="Underline"/>
    <w:basedOn w:val="DefaultParagraphFont"/>
    <w:qFormat/>
    <w:rsid w:val="00F86727"/>
    <w:rPr>
      <w:u w:val="single"/>
    </w:rPr>
  </w:style>
  <w:style w:type="character" w:customStyle="1" w:styleId="BoldandItalics">
    <w:name w:val="Bold and Italics"/>
    <w:qFormat/>
    <w:rsid w:val="00F86727"/>
    <w:rPr>
      <w:b/>
      <w:i/>
      <w:u w:val="none"/>
    </w:rPr>
  </w:style>
  <w:style w:type="paragraph" w:styleId="BalloonText">
    <w:name w:val="Balloon Text"/>
    <w:basedOn w:val="Normal"/>
    <w:link w:val="BalloonTextChar"/>
    <w:rsid w:val="00F86727"/>
    <w:rPr>
      <w:rFonts w:ascii="Tahoma" w:hAnsi="Tahoma" w:cs="Tahoma"/>
      <w:sz w:val="16"/>
      <w:szCs w:val="16"/>
    </w:rPr>
  </w:style>
  <w:style w:type="character" w:customStyle="1" w:styleId="BalloonTextChar">
    <w:name w:val="Balloon Text Char"/>
    <w:basedOn w:val="DefaultParagraphFont"/>
    <w:link w:val="BalloonText"/>
    <w:rsid w:val="00F867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67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67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6727"/>
    <w:rPr>
      <w:b/>
      <w:color w:val="660033"/>
      <w:spacing w:val="0"/>
    </w:rPr>
  </w:style>
  <w:style w:type="paragraph" w:customStyle="1" w:styleId="Nameditemlist">
    <w:name w:val="Named item list"/>
    <w:basedOn w:val="BodyText"/>
    <w:qFormat/>
    <w:rsid w:val="00F86727"/>
    <w:pPr>
      <w:tabs>
        <w:tab w:val="left" w:pos="2835"/>
      </w:tabs>
      <w:ind w:left="2835" w:hanging="2835"/>
    </w:pPr>
  </w:style>
  <w:style w:type="paragraph" w:customStyle="1" w:styleId="BodyTextnopadding">
    <w:name w:val="Body Text no padding"/>
    <w:basedOn w:val="BodyText"/>
    <w:qFormat/>
    <w:rsid w:val="00F86727"/>
    <w:pPr>
      <w:spacing w:before="0" w:after="0"/>
    </w:pPr>
  </w:style>
  <w:style w:type="paragraph" w:customStyle="1" w:styleId="BodyTextBold">
    <w:name w:val="Body Text Bold"/>
    <w:basedOn w:val="BodyText"/>
    <w:qFormat/>
    <w:rsid w:val="00F86727"/>
    <w:rPr>
      <w:b/>
    </w:rPr>
  </w:style>
  <w:style w:type="character" w:styleId="Hyperlink">
    <w:name w:val="Hyperlink"/>
    <w:basedOn w:val="DefaultParagraphFont"/>
    <w:uiPriority w:val="99"/>
    <w:unhideWhenUsed/>
    <w:rsid w:val="00F944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1147</Words>
  <Characters>7302</Characters>
  <Application>Microsoft Office Word</Application>
  <DocSecurity>0</DocSecurity>
  <Lines>292</Lines>
  <Paragraphs>183</Paragraphs>
  <ScaleCrop>false</ScaleCrop>
  <Company>Author-it Software Corporation Ltd.</Company>
  <LinksUpToDate>false</LinksUpToDate>
  <CharactersWithSpaces>8266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MEM11004 Undertake dogging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2025-03-01T21:00:00Z</dcterms:created>
  <dcterms:modified xsi:type="dcterms:W3CDTF">2025-03-01T21:00:00Z</dcterms:modified>
</cp:coreProperties>
</file>