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0A2" w:rsidP="003A50A2">
      <w:pPr>
        <w:pStyle w:val="Title"/>
      </w:pPr>
      <w:r>
        <w:fldChar w:fldCharType="begin"/>
      </w:r>
      <w:r>
        <w:instrText xml:space="preserve"> TITLE   \* MERGEFORMAT </w:instrText>
      </w:r>
      <w:r>
        <w:fldChar w:fldCharType="separate"/>
      </w:r>
      <w:r>
        <w:t>MEM11003 Coordinate erection/dismantling of complex scaffolding/equipment</w:t>
      </w:r>
      <w:r>
        <w:fldChar w:fldCharType="end"/>
      </w:r>
    </w:p>
    <w:p w:rsidR="003A50A2" w:rsidP="003A50A2">
      <w:pPr>
        <w:pStyle w:val="Version"/>
        <w:sectPr w:rsidSect="00CB63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30C" w:rsidP="00CB630C">
      <w:pPr>
        <w:pStyle w:val="SuperHeading"/>
      </w:pPr>
      <w:r w:rsidRPr="00CB630C">
        <w:t>MEM11003 Coordinate erection/dismantling of complex scaffolding/equipment</w:t>
      </w:r>
    </w:p>
    <w:p w:rsidR="00000000" w:rsidRPr="00CB630C" w:rsidP="00CB630C">
      <w:pPr>
        <w:pStyle w:val="Heading1"/>
      </w:pPr>
      <w:bookmarkStart w:id="1" w:name="O_950419"/>
      <w:bookmarkEnd w:id="1"/>
      <w:r w:rsidRPr="00CB630C">
        <w:t>Modification History</w:t>
      </w:r>
    </w:p>
    <w:p w:rsidR="00000000" w:rsidRPr="00CB630C" w:rsidP="003A50A2">
      <w:pPr>
        <w:pStyle w:val="BodyText"/>
      </w:pPr>
      <w:r w:rsidRPr="00CB630C">
        <w:t xml:space="preserve">Release 1. Supersedes and is equivalent to MEM11003B Coordinate erection/dismantling of complex scaffolding/equipment </w:t>
      </w:r>
    </w:p>
    <w:p w:rsidR="00000000" w:rsidRPr="00CB630C" w:rsidP="00CB630C">
      <w:pPr>
        <w:pStyle w:val="Heading1"/>
      </w:pPr>
      <w:bookmarkStart w:id="2" w:name="O_950427"/>
      <w:bookmarkEnd w:id="2"/>
      <w:r w:rsidRPr="00CB630C">
        <w:t>Application</w:t>
      </w:r>
    </w:p>
    <w:p w:rsidR="00000000" w:rsidRPr="00CB630C" w:rsidP="003A50A2">
      <w:pPr>
        <w:pStyle w:val="BodyText"/>
      </w:pPr>
      <w:r w:rsidRPr="00CB630C">
        <w:t>This unit of competency defines the skills and knowledge required to coordinate the erection, alteration, repair and dismantling of scaffolding/equipment in workshops, factories, manufacturing plants and warehouses, and applies to individuals c</w:t>
      </w:r>
      <w:r w:rsidRPr="00CB630C">
        <w:t>oordinating a scaffolding team or employed in a supervisory capacity.</w:t>
      </w:r>
    </w:p>
    <w:p w:rsidR="00000000" w:rsidRPr="00CB630C" w:rsidP="003A50A2">
      <w:pPr>
        <w:pStyle w:val="BodyText"/>
      </w:pPr>
      <w:r w:rsidRPr="00CB630C">
        <w:t>Complex scaffolding means intermediate scaffolding and above as set out the legislative requirements in each state and territory. The major difference between the complex and basic scaf</w:t>
      </w:r>
      <w:r w:rsidRPr="00CB630C">
        <w:t>folding is the height of the working platform and certain types of scaffolding and configurations.</w:t>
      </w:r>
    </w:p>
    <w:p w:rsidR="00000000" w:rsidRPr="00CB630C" w:rsidP="003A50A2">
      <w:pPr>
        <w:pStyle w:val="BodyText"/>
      </w:pPr>
      <w:r w:rsidRPr="00CB630C">
        <w:t>Where interpretation of technical drawings is required unit MEM09002 Interpret technical drawing should also be selected.</w:t>
      </w:r>
    </w:p>
    <w:p w:rsidR="00000000" w:rsidRPr="00CB630C" w:rsidP="003A50A2">
      <w:pPr>
        <w:pStyle w:val="BodyText"/>
      </w:pPr>
      <w:r w:rsidRPr="00CB630C">
        <w:t>Where the selection and use of en</w:t>
      </w:r>
      <w:r w:rsidRPr="00CB630C">
        <w:t>gineering measurement is required unit MEM12023 Perform engineering measurements should also be selected.</w:t>
      </w:r>
    </w:p>
    <w:p w:rsidR="00000000" w:rsidRPr="00CB630C" w:rsidP="003A50A2">
      <w:pPr>
        <w:pStyle w:val="BodyText"/>
      </w:pPr>
      <w:r w:rsidRPr="00CB630C">
        <w:t>Where the selection and use of power tools/hand held operations is required unit MEM18002 Use power tools/hand held operations should also be selecte</w:t>
      </w:r>
      <w:r w:rsidRPr="00CB630C">
        <w:t>d.</w:t>
      </w:r>
    </w:p>
    <w:p w:rsidR="00000000" w:rsidRPr="00CB630C" w:rsidP="003A50A2">
      <w:pPr>
        <w:pStyle w:val="BodyText"/>
      </w:pPr>
      <w:r w:rsidRPr="00CB630C">
        <w:t>Depending on the equipment being used a high risk work licence may be required and users should check with the relevant authorities.</w:t>
      </w:r>
    </w:p>
    <w:p w:rsidR="00000000" w:rsidRPr="00CB630C" w:rsidP="00CB630C">
      <w:pPr>
        <w:pStyle w:val="BodyText"/>
      </w:pPr>
      <w:r w:rsidRPr="00CB630C">
        <w:rPr>
          <w:rStyle w:val="SpecialBold"/>
        </w:rPr>
        <w:t>Band</w:t>
      </w:r>
      <w:r w:rsidRPr="00CB630C">
        <w:t>:</w:t>
      </w:r>
      <w:r w:rsidRPr="00CB630C">
        <w:tab/>
      </w:r>
      <w:r w:rsidRPr="00CB630C">
        <w:rPr>
          <w:rStyle w:val="SpecialBold"/>
        </w:rPr>
        <w:t>A</w:t>
      </w:r>
    </w:p>
    <w:p w:rsidR="00000000" w:rsidRPr="00CB630C" w:rsidP="00CB630C">
      <w:pPr>
        <w:pStyle w:val="BodyText"/>
      </w:pPr>
      <w:r w:rsidRPr="00CB630C">
        <w:rPr>
          <w:rStyle w:val="SpecialBold"/>
        </w:rPr>
        <w:t>Unit Weight</w:t>
      </w:r>
      <w:r w:rsidRPr="00CB630C">
        <w:t>:</w:t>
      </w:r>
      <w:r w:rsidRPr="00CB630C">
        <w:tab/>
      </w:r>
      <w:r w:rsidRPr="00CB630C">
        <w:rPr>
          <w:rStyle w:val="SpecialBold"/>
        </w:rPr>
        <w:t>4</w:t>
      </w:r>
    </w:p>
    <w:p w:rsidR="00000000" w:rsidRPr="00CB630C" w:rsidP="00CB630C">
      <w:pPr>
        <w:pStyle w:val="AllowPageBreak"/>
      </w:pPr>
    </w:p>
    <w:p w:rsidR="00000000" w:rsidRPr="00CB630C" w:rsidP="00CB630C">
      <w:pPr>
        <w:pStyle w:val="Heading1"/>
      </w:pPr>
      <w:bookmarkStart w:id="3" w:name="O_950426"/>
      <w:bookmarkEnd w:id="3"/>
      <w:r w:rsidRPr="00CB630C">
        <w:t>Pre-requisite Unit</w:t>
      </w:r>
    </w:p>
    <w:tbl>
      <w:tblPr>
        <w:tblW w:w="0" w:type="auto"/>
        <w:tblLayout w:type="fixed"/>
        <w:tblCellMar>
          <w:left w:w="62" w:type="dxa"/>
          <w:right w:w="62" w:type="dxa"/>
        </w:tblCellMar>
        <w:tblLook w:val="0000"/>
      </w:tblPr>
      <w:tblGrid>
        <w:gridCol w:w="2186"/>
        <w:gridCol w:w="6886"/>
      </w:tblGrid>
      <w:tr w:rsidTr="00CB630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MEM11001</w:t>
            </w:r>
          </w:p>
        </w:tc>
        <w:tc>
          <w:tcPr>
            <w:tcW w:w="68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Erect/dismantle scaffolding and equipment</w:t>
            </w:r>
          </w:p>
        </w:tc>
      </w:tr>
      <w:tr w:rsidTr="00CB630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MEM11002</w:t>
            </w:r>
          </w:p>
        </w:tc>
        <w:tc>
          <w:tcPr>
            <w:tcW w:w="68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Erect/dismantle intermediate scaffolding and equipment</w:t>
            </w:r>
          </w:p>
        </w:tc>
      </w:tr>
      <w:tr w:rsidTr="00CB630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MEM11011</w:t>
            </w:r>
          </w:p>
        </w:tc>
        <w:tc>
          <w:tcPr>
            <w:tcW w:w="68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Undertake manual handling</w:t>
            </w:r>
          </w:p>
        </w:tc>
      </w:tr>
      <w:tr w:rsidTr="00CB630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MEM13015</w:t>
            </w:r>
          </w:p>
        </w:tc>
        <w:tc>
          <w:tcPr>
            <w:tcW w:w="68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Work safely and effectively in manufacturing and engineering</w:t>
            </w:r>
          </w:p>
        </w:tc>
      </w:tr>
      <w:tr w:rsidTr="00CB630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MEM16006</w:t>
            </w:r>
          </w:p>
        </w:tc>
        <w:tc>
          <w:tcPr>
            <w:tcW w:w="68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Organise and communicate information</w:t>
            </w:r>
          </w:p>
        </w:tc>
      </w:tr>
      <w:tr w:rsidTr="00CB630C">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MEM18001</w:t>
            </w:r>
          </w:p>
        </w:tc>
        <w:tc>
          <w:tcPr>
            <w:tcW w:w="6886" w:type="dxa"/>
            <w:tcBorders>
              <w:top w:val="nil"/>
              <w:left w:val="nil"/>
              <w:bottom w:val="nil"/>
              <w:right w:val="nil"/>
            </w:tcBorders>
            <w:tcMar>
              <w:top w:w="0" w:type="dxa"/>
              <w:left w:w="62" w:type="dxa"/>
              <w:bottom w:w="0" w:type="dxa"/>
              <w:right w:w="62" w:type="dxa"/>
            </w:tcMar>
          </w:tcPr>
          <w:p w:rsidR="00000000" w:rsidRPr="00CB630C" w:rsidP="00CB630C">
            <w:pPr>
              <w:pStyle w:val="BodyText"/>
            </w:pPr>
            <w:r w:rsidRPr="00CB630C">
              <w:t>Use hand tools</w:t>
            </w:r>
          </w:p>
        </w:tc>
      </w:tr>
    </w:tbl>
    <w:p w:rsidR="00000000" w:rsidRPr="00CB630C" w:rsidP="00CB630C">
      <w:pPr>
        <w:pStyle w:val="BodyText"/>
      </w:pPr>
    </w:p>
    <w:p w:rsidR="00000000" w:rsidRPr="00CB630C" w:rsidP="00CB630C">
      <w:pPr>
        <w:pStyle w:val="AllowPageBreak"/>
      </w:pPr>
    </w:p>
    <w:p w:rsidR="00000000" w:rsidRPr="00CB630C" w:rsidP="00CB630C">
      <w:pPr>
        <w:pStyle w:val="Heading1"/>
      </w:pPr>
      <w:bookmarkStart w:id="4" w:name="O_950425"/>
      <w:bookmarkEnd w:id="4"/>
      <w:r w:rsidRPr="00CB630C">
        <w:t>Competency Field</w:t>
      </w:r>
    </w:p>
    <w:p w:rsidR="00000000" w:rsidRPr="00CB630C" w:rsidP="003A50A2">
      <w:pPr>
        <w:pStyle w:val="BodyText"/>
      </w:pPr>
      <w:r w:rsidRPr="00CB630C">
        <w:t>Materials handling</w:t>
      </w:r>
    </w:p>
    <w:p w:rsidR="00000000" w:rsidRPr="00CB630C" w:rsidP="00CB630C">
      <w:pPr>
        <w:pStyle w:val="Heading1"/>
      </w:pPr>
      <w:bookmarkStart w:id="5" w:name="O_950423"/>
      <w:bookmarkEnd w:id="5"/>
      <w:r w:rsidRPr="00CB630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B630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Performance criteria describe the performance needed to demonstrate achievement of the element.</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B630C" w:rsidP="00CB630C">
            <w:pPr>
              <w:pStyle w:val="BodyText"/>
            </w:pPr>
            <w:r w:rsidRPr="00CB630C">
              <w:t>1</w:t>
            </w:r>
          </w:p>
        </w:tc>
        <w:tc>
          <w:tcPr>
            <w:tcW w:w="1986" w:type="dxa"/>
            <w:vMerge w:val="restart"/>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1.1</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Follow standard operating procedures (SOPs)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1.2</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Comply with work health and safety (WHS) requirements at all times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1.3</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Use appropriate personal protective equipment (PPE) in accordance with SOPs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1.4</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Interpret site plans, scaffolding/equipment designs and drawings to industry practices, as necessary</w:t>
            </w:r>
          </w:p>
        </w:tc>
      </w:tr>
      <w:tr w:rsidTr="00CB630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B630C">
            <w:pPr>
              <w:pStyle w:val="BodyText"/>
              <w:rPr>
                <w:lang w:val="en-NZ"/>
              </w:rPr>
            </w:pP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B630C" w:rsidP="00CB630C">
            <w:pPr>
              <w:pStyle w:val="BodyText"/>
            </w:pPr>
            <w:r w:rsidRPr="00CB630C">
              <w:t>2</w:t>
            </w:r>
          </w:p>
        </w:tc>
        <w:tc>
          <w:tcPr>
            <w:tcW w:w="1986" w:type="dxa"/>
            <w:vMerge w:val="restart"/>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Plan and coordinate erection of complex scaffold/equipment</w:t>
            </w: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2.1</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Inspect work area to identify hazards and implement appropriate preventi</w:t>
            </w:r>
            <w:r w:rsidRPr="00CB630C">
              <w:t>on/control measures to avoid hazard</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2.2</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Prepare erection site to meet job and safety requirements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2.3</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Place necessary signage and barriers in appropriate position</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2.4</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w:t>
            </w:r>
            <w:r w:rsidRPr="00CB630C">
              <w:t>oordinate scaffolding/equipment erection in accordance with acceptable safe work practices, Australian Standards, state or territory legislative requirements and equipment manufacturers</w:t>
            </w:r>
            <w:r>
              <w:t>’</w:t>
            </w:r>
            <w:r w:rsidRPr="00CB630C">
              <w:t xml:space="preserve"> requirements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2.5</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Inspect completed scaffolding/equipment for safet</w:t>
            </w:r>
            <w:r w:rsidRPr="00CB630C">
              <w:t xml:space="preserve">y and </w:t>
            </w:r>
            <w:r w:rsidRPr="00CB630C">
              <w:t>compliance with design, operational and statutory requirements</w:t>
            </w:r>
          </w:p>
        </w:tc>
      </w:tr>
      <w:tr w:rsidTr="00CB630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B630C">
            <w:pPr>
              <w:pStyle w:val="BodyText"/>
              <w:rPr>
                <w:lang w:val="en-NZ"/>
              </w:rPr>
            </w:pP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B630C" w:rsidP="00CB630C">
            <w:pPr>
              <w:pStyle w:val="BodyText"/>
            </w:pPr>
            <w:r w:rsidRPr="00CB630C">
              <w:t>3</w:t>
            </w:r>
          </w:p>
        </w:tc>
        <w:tc>
          <w:tcPr>
            <w:tcW w:w="1986" w:type="dxa"/>
            <w:vMerge w:val="restart"/>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Coordinate alterations and repairs of complex scaffold/equipment</w:t>
            </w: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3.1</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Confirm and understand scope of alteration/repair</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3.2</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Inspect existing scaffolding/equipment and determine alterations/repairs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3.3</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Determine materials, equipment and tools required for alterations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3.4</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Determine existing or new load requirements using load tables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3.5</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Coordinate alteration/repairs in accordance with safe work practices, Australian Standards and equipment manufacturers</w:t>
            </w:r>
            <w:r>
              <w:t>’</w:t>
            </w:r>
            <w:r w:rsidRPr="00CB630C">
              <w:t xml:space="preserve"> requirements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3.6</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Inspect alterations/repairs for safety and operational requirements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3.7</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Report work completion to appropriate per</w:t>
            </w:r>
            <w:r w:rsidRPr="00CB630C">
              <w:t>sonnel and record</w:t>
            </w:r>
          </w:p>
        </w:tc>
      </w:tr>
      <w:tr w:rsidTr="00CB630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B630C">
            <w:pPr>
              <w:pStyle w:val="BodyText"/>
              <w:rPr>
                <w:lang w:val="en-NZ"/>
              </w:rPr>
            </w:pP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B630C" w:rsidP="00CB630C">
            <w:pPr>
              <w:pStyle w:val="BodyText"/>
            </w:pPr>
            <w:r w:rsidRPr="00CB630C">
              <w:t>4</w:t>
            </w:r>
          </w:p>
        </w:tc>
        <w:tc>
          <w:tcPr>
            <w:tcW w:w="1986" w:type="dxa"/>
            <w:vMerge w:val="restart"/>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Inspect erected complex scaffold/equipment</w:t>
            </w: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4.1</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Inspect the critical structural and safety areas of the scaffolding/equipment for damage, corrosion and wear</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4.2</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Check scaffolding/equipment and structure against the type of scaffolding/equipment and structure specified in the plan</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4.3</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Complete inspection log and report potential safety and design/structural hazards for rectification</w:t>
            </w:r>
          </w:p>
        </w:tc>
      </w:tr>
      <w:tr w:rsidTr="00CB630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B630C">
            <w:pPr>
              <w:pStyle w:val="BodyText"/>
              <w:rPr>
                <w:lang w:val="en-NZ"/>
              </w:rPr>
            </w:pP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B630C" w:rsidP="00CB630C">
            <w:pPr>
              <w:pStyle w:val="BodyText"/>
            </w:pPr>
            <w:r w:rsidRPr="00CB630C">
              <w:t>5</w:t>
            </w:r>
          </w:p>
        </w:tc>
        <w:tc>
          <w:tcPr>
            <w:tcW w:w="1986" w:type="dxa"/>
            <w:vMerge w:val="restart"/>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Coordinate dismantling of complex scaffold/equipment</w:t>
            </w: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5.1</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Coordinate removal of scaffolding/equipment from site in accordance with procedures and critical structural and safety requirements</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5.2</w:t>
            </w:r>
          </w:p>
        </w:tc>
        <w:tc>
          <w:tcPr>
            <w:tcW w:w="5678"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Coordinate site clearance and remove surplus material, equipment, tools and debris and leave site in safe and operational state</w:t>
            </w:r>
          </w:p>
        </w:tc>
      </w:tr>
      <w:tr w:rsidTr="00CB630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5.3</w:t>
            </w:r>
          </w:p>
        </w:tc>
        <w:tc>
          <w:tcPr>
            <w:tcW w:w="5678" w:type="dxa"/>
            <w:tcBorders>
              <w:top w:val="nil"/>
              <w:left w:val="nil"/>
              <w:bottom w:val="nil"/>
              <w:right w:val="nil"/>
            </w:tcBorders>
            <w:tcMar>
              <w:top w:w="0" w:type="dxa"/>
              <w:left w:w="62" w:type="dxa"/>
              <w:bottom w:w="0" w:type="dxa"/>
              <w:right w:w="62" w:type="dxa"/>
            </w:tcMar>
          </w:tcPr>
          <w:p w:rsidR="00000000" w:rsidRPr="00CB630C" w:rsidP="00CB630C">
            <w:pPr>
              <w:pStyle w:val="BodyText"/>
            </w:pPr>
            <w:r w:rsidRPr="00CB630C">
              <w:t>Report work completion to appropriate authority</w:t>
            </w:r>
          </w:p>
        </w:tc>
      </w:tr>
    </w:tbl>
    <w:p w:rsidR="00000000" w:rsidRPr="00CB630C" w:rsidP="00CB630C">
      <w:pPr>
        <w:pStyle w:val="BodyText"/>
      </w:pPr>
    </w:p>
    <w:p w:rsidR="00000000" w:rsidRPr="00CB630C" w:rsidP="00CB630C">
      <w:pPr>
        <w:pStyle w:val="AllowPageBreak"/>
      </w:pPr>
    </w:p>
    <w:p w:rsidR="00000000" w:rsidRPr="00CB630C" w:rsidP="00CB630C">
      <w:pPr>
        <w:pStyle w:val="Heading1"/>
      </w:pPr>
      <w:bookmarkStart w:id="6" w:name="O_950422"/>
      <w:bookmarkEnd w:id="6"/>
      <w:r w:rsidRPr="00CB630C">
        <w:t>Foundation Skills</w:t>
      </w:r>
    </w:p>
    <w:p w:rsidR="00000000" w:rsidRPr="00CB630C" w:rsidP="003A50A2">
      <w:pPr>
        <w:pStyle w:val="BodyText"/>
      </w:pPr>
      <w:r w:rsidRPr="00CB630C">
        <w:t>This section describes those require</w:t>
      </w:r>
      <w:r w:rsidRPr="00CB630C">
        <w:t xml:space="preserve">d skills (reading, writing, oral communication and numeracy) that are essential to workplace performance in this unit of competency.  </w:t>
      </w:r>
    </w:p>
    <w:p w:rsidR="00000000" w:rsidRPr="00CB630C" w:rsidP="003A50A2">
      <w:pPr>
        <w:pStyle w:val="BodyText"/>
      </w:pPr>
      <w:r w:rsidRPr="00CB630C">
        <w:t>Foundation skills essential to performance are explicit in the performance criteria of this unit of competency.</w:t>
      </w:r>
    </w:p>
    <w:p w:rsidR="00000000" w:rsidRPr="00CB630C" w:rsidP="00CB630C">
      <w:pPr>
        <w:pStyle w:val="Heading1"/>
      </w:pPr>
      <w:bookmarkStart w:id="7" w:name="O_950421"/>
      <w:bookmarkEnd w:id="7"/>
      <w:r w:rsidRPr="00CB630C">
        <w:t>Range of Conditions</w:t>
      </w:r>
    </w:p>
    <w:tbl>
      <w:tblPr>
        <w:tblW w:w="9288" w:type="dxa"/>
        <w:tblLayout w:type="fixed"/>
        <w:tblCellMar>
          <w:left w:w="62" w:type="dxa"/>
          <w:right w:w="62" w:type="dxa"/>
        </w:tblCellMar>
        <w:tblLook w:val="0000"/>
      </w:tblPr>
      <w:tblGrid>
        <w:gridCol w:w="2759"/>
        <w:gridCol w:w="6529"/>
      </w:tblGrid>
      <w:tr w:rsidTr="00CB630C">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t xml:space="preserve">This field allows for different work environments and conditions that may affect performance. Essential operating conditions that may be present (depending on the work situation, needs of the candidate, accessibility of </w:t>
            </w:r>
            <w:r w:rsidRPr="00CB630C">
              <w:t>the item, and local industry and regional contexts) are included.</w:t>
            </w:r>
          </w:p>
        </w:tc>
      </w:tr>
      <w:tr w:rsidTr="00CB630C">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Scaffolding</w:t>
            </w:r>
            <w:r w:rsidRPr="00CB630C">
              <w:t>/</w:t>
            </w:r>
            <w:r w:rsidRPr="00CB630C">
              <w:rPr>
                <w:rStyle w:val="SpecialBold"/>
              </w:rPr>
              <w:t>equipment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CB630C" w:rsidP="00CB630C">
            <w:pPr>
              <w:pStyle w:val="ListBullet"/>
            </w:pPr>
            <w:r w:rsidRPr="00CB630C">
              <w:t>modular or prefabricated scaffolds</w:t>
            </w:r>
          </w:p>
          <w:p w:rsidR="00000000" w:rsidRPr="00CB630C" w:rsidP="00CB630C">
            <w:pPr>
              <w:pStyle w:val="ListBullet"/>
            </w:pPr>
            <w:r w:rsidRPr="00CB630C">
              <w:t>cantilevered materials hoists with a maximum working load of 500 kg</w:t>
            </w:r>
          </w:p>
          <w:p w:rsidR="00000000" w:rsidRPr="00CB630C" w:rsidP="00CB630C">
            <w:pPr>
              <w:pStyle w:val="ListBullet"/>
            </w:pPr>
            <w:r w:rsidRPr="00CB630C">
              <w:t>ropes and gin wheel</w:t>
            </w:r>
            <w:r w:rsidRPr="00CB630C">
              <w:t>s</w:t>
            </w:r>
          </w:p>
          <w:p w:rsidR="00000000" w:rsidRPr="00CB630C" w:rsidP="00CB630C">
            <w:pPr>
              <w:pStyle w:val="ListBullet"/>
            </w:pPr>
            <w:r w:rsidRPr="00CB630C">
              <w:t>safety nets and static lines, and</w:t>
            </w:r>
          </w:p>
          <w:p w:rsidR="00000000" w:rsidRPr="00CB630C" w:rsidP="00CB630C">
            <w:pPr>
              <w:pStyle w:val="ListBullet"/>
            </w:pPr>
            <w:r w:rsidRPr="00CB630C">
              <w:t>bracket scaffolds (tank and formwork)</w:t>
            </w:r>
          </w:p>
          <w:p w:rsidR="00000000" w:rsidRPr="00CB630C" w:rsidP="00CB630C">
            <w:pPr>
              <w:pStyle w:val="ListBullet"/>
            </w:pPr>
            <w:r w:rsidRPr="00CB630C">
              <w:t>cantilevered crane loading platforms</w:t>
            </w:r>
          </w:p>
          <w:p w:rsidR="00000000" w:rsidRPr="00CB630C" w:rsidP="00CB630C">
            <w:pPr>
              <w:pStyle w:val="ListBullet"/>
            </w:pPr>
            <w:r w:rsidRPr="00CB630C">
              <w:t>cantilevered and spurred scaffolds</w:t>
            </w:r>
          </w:p>
          <w:p w:rsidR="00000000" w:rsidRPr="00CB630C" w:rsidP="00CB630C">
            <w:pPr>
              <w:pStyle w:val="ListBullet"/>
            </w:pPr>
            <w:r w:rsidRPr="00CB630C">
              <w:t>barrow ramps and sloping platforms</w:t>
            </w:r>
          </w:p>
          <w:p w:rsidR="00000000" w:rsidRPr="00CB630C" w:rsidP="00CB630C">
            <w:pPr>
              <w:pStyle w:val="ListBullet"/>
            </w:pPr>
            <w:r w:rsidRPr="00CB630C">
              <w:t>perimeter safety screens and shutters</w:t>
            </w:r>
          </w:p>
          <w:p w:rsidR="00000000" w:rsidRPr="00CB630C" w:rsidP="00CB630C">
            <w:pPr>
              <w:pStyle w:val="ListBullet"/>
            </w:pPr>
            <w:r w:rsidRPr="00CB630C">
              <w:t>mast climbers</w:t>
            </w:r>
          </w:p>
          <w:p w:rsidR="00000000" w:rsidRPr="00CB630C" w:rsidP="00CB630C">
            <w:pPr>
              <w:pStyle w:val="ListBullet"/>
            </w:pPr>
            <w:r w:rsidRPr="00CB630C">
              <w:t>tube and coupler scaffolds (including tube and coupler covered ways and gantries)</w:t>
            </w:r>
          </w:p>
          <w:p w:rsidR="00000000" w:rsidRPr="00CB630C" w:rsidP="00CB630C">
            <w:pPr>
              <w:pStyle w:val="ListBullet"/>
            </w:pPr>
            <w:r w:rsidRPr="00CB630C">
              <w:t>cantilevered hoists</w:t>
            </w:r>
          </w:p>
          <w:p w:rsidR="00000000" w:rsidRPr="00CB630C" w:rsidP="00CB630C">
            <w:pPr>
              <w:pStyle w:val="ListBullet"/>
            </w:pPr>
            <w:r w:rsidRPr="00CB630C">
              <w:t>hung scaffolds, including scaffolds hanging from tubes, wire ropes or chains</w:t>
            </w:r>
          </w:p>
          <w:p w:rsidR="00000000" w:rsidRPr="00CB630C" w:rsidP="00CB630C">
            <w:pPr>
              <w:pStyle w:val="ListBullet"/>
            </w:pPr>
            <w:r w:rsidRPr="00CB630C">
              <w:t>suspended scaffolds</w:t>
            </w:r>
          </w:p>
          <w:p w:rsidR="00000000" w:rsidP="00CB630C">
            <w:pPr>
              <w:pStyle w:val="BodyText"/>
              <w:rPr>
                <w:lang w:val="en-NZ"/>
              </w:rPr>
            </w:pPr>
          </w:p>
        </w:tc>
      </w:tr>
      <w:tr w:rsidTr="00CB630C">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Hazards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CB630C" w:rsidP="00CB630C">
            <w:pPr>
              <w:pStyle w:val="ListBullet"/>
            </w:pPr>
            <w:r w:rsidRPr="00CB630C">
              <w:t>chem</w:t>
            </w:r>
            <w:r w:rsidRPr="00CB630C">
              <w:t>icals</w:t>
            </w:r>
          </w:p>
          <w:p w:rsidR="00000000" w:rsidRPr="00CB630C" w:rsidP="00CB630C">
            <w:pPr>
              <w:pStyle w:val="ListBullet"/>
            </w:pPr>
            <w:r w:rsidRPr="00CB630C">
              <w:t>dangerous or hazardous substances/materials</w:t>
            </w:r>
          </w:p>
          <w:p w:rsidR="00000000" w:rsidRPr="00CB630C" w:rsidP="00CB630C">
            <w:pPr>
              <w:pStyle w:val="ListBullet"/>
            </w:pPr>
            <w:r w:rsidRPr="00CB630C">
              <w:t>movement of equipment, goods and materials</w:t>
            </w:r>
          </w:p>
          <w:p w:rsidR="00000000" w:rsidRPr="00CB630C" w:rsidP="00CB630C">
            <w:pPr>
              <w:pStyle w:val="ListBullet"/>
            </w:pPr>
            <w:r w:rsidRPr="00CB630C">
              <w:t>vehicular traffic</w:t>
            </w:r>
          </w:p>
          <w:p w:rsidR="00000000" w:rsidRPr="00CB630C" w:rsidP="00CB630C">
            <w:pPr>
              <w:pStyle w:val="ListBullet"/>
            </w:pPr>
            <w:r w:rsidRPr="00CB630C">
              <w:t>uneven/unstable terrain</w:t>
            </w:r>
          </w:p>
          <w:p w:rsidR="00000000" w:rsidRPr="00CB630C" w:rsidP="00CB630C">
            <w:pPr>
              <w:pStyle w:val="ListBullet"/>
            </w:pPr>
            <w:r w:rsidRPr="00CB630C">
              <w:t>overhead service lines</w:t>
            </w:r>
          </w:p>
          <w:p w:rsidR="00000000" w:rsidRPr="00CB630C" w:rsidP="00CB630C">
            <w:pPr>
              <w:pStyle w:val="ListBullet"/>
            </w:pPr>
            <w:r w:rsidRPr="00CB630C">
              <w:t>trees</w:t>
            </w:r>
          </w:p>
          <w:p w:rsidR="00000000" w:rsidRPr="00CB630C" w:rsidP="00CB630C">
            <w:pPr>
              <w:pStyle w:val="ListBullet"/>
            </w:pPr>
            <w:r w:rsidRPr="00CB630C">
              <w:t>underground services</w:t>
            </w:r>
          </w:p>
          <w:p w:rsidR="00000000" w:rsidRPr="00CB630C" w:rsidP="00CB630C">
            <w:pPr>
              <w:pStyle w:val="ListBullet"/>
            </w:pPr>
            <w:r w:rsidRPr="00CB630C">
              <w:t>obstructions</w:t>
            </w:r>
          </w:p>
          <w:p w:rsidR="00000000" w:rsidRPr="00CB630C" w:rsidP="00CB630C">
            <w:pPr>
              <w:pStyle w:val="ListBullet"/>
            </w:pPr>
            <w:r w:rsidRPr="00CB630C">
              <w:t>structures</w:t>
            </w:r>
          </w:p>
          <w:p w:rsidR="00000000" w:rsidRPr="00CB630C" w:rsidP="00CB630C">
            <w:pPr>
              <w:pStyle w:val="ListBullet"/>
            </w:pPr>
            <w:r w:rsidRPr="00CB630C">
              <w:t>surrounding buildings</w:t>
            </w:r>
          </w:p>
          <w:p w:rsidR="00000000" w:rsidRPr="00CB630C" w:rsidP="00CB630C">
            <w:pPr>
              <w:pStyle w:val="ListBullet"/>
            </w:pPr>
            <w:r w:rsidRPr="00CB630C">
              <w:t>facilities</w:t>
            </w:r>
          </w:p>
          <w:p w:rsidR="00000000" w:rsidRPr="00CB630C" w:rsidP="00CB630C">
            <w:pPr>
              <w:pStyle w:val="ListBullet"/>
            </w:pPr>
            <w:r w:rsidRPr="00CB630C">
              <w:t>bridges/walkways</w:t>
            </w:r>
          </w:p>
          <w:p w:rsidR="00000000" w:rsidRPr="00CB630C" w:rsidP="00CB630C">
            <w:pPr>
              <w:pStyle w:val="ListBullet"/>
            </w:pPr>
            <w:r w:rsidRPr="00CB630C">
              <w:t>lifting equipment</w:t>
            </w:r>
          </w:p>
          <w:p w:rsidR="00000000" w:rsidP="00CB630C">
            <w:pPr>
              <w:pStyle w:val="BodyText"/>
              <w:rPr>
                <w:lang w:val="en-NZ"/>
              </w:rPr>
            </w:pPr>
          </w:p>
        </w:tc>
      </w:tr>
      <w:tr w:rsidTr="00CB630C">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Prescribed procedures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CB630C" w:rsidP="00CB630C">
            <w:pPr>
              <w:pStyle w:val="ListBullet"/>
            </w:pPr>
            <w:r w:rsidRPr="00CB630C">
              <w:t>clarification of instructions either written or from authorised personnel</w:t>
            </w:r>
          </w:p>
          <w:p w:rsidR="00000000" w:rsidRPr="00CB630C" w:rsidP="00CB630C">
            <w:pPr>
              <w:pStyle w:val="ListBullet"/>
            </w:pPr>
            <w:r w:rsidRPr="00CB630C">
              <w:t>site safety policy and procedures</w:t>
            </w:r>
          </w:p>
          <w:p w:rsidR="00000000" w:rsidRPr="00CB630C" w:rsidP="00CB630C">
            <w:pPr>
              <w:pStyle w:val="ListBullet"/>
            </w:pPr>
            <w:r w:rsidRPr="00CB630C">
              <w:t>SOPs</w:t>
            </w:r>
          </w:p>
          <w:p w:rsidR="00000000" w:rsidRPr="00CB630C" w:rsidP="00CB630C">
            <w:pPr>
              <w:pStyle w:val="ListBullet"/>
            </w:pPr>
            <w:r w:rsidRPr="00CB630C">
              <w:t>correct use of equipment</w:t>
            </w:r>
          </w:p>
          <w:p w:rsidR="00000000" w:rsidRPr="00CB630C" w:rsidP="00CB630C">
            <w:pPr>
              <w:pStyle w:val="ListBullet"/>
            </w:pPr>
            <w:r w:rsidRPr="00CB630C">
              <w:t>industry standar</w:t>
            </w:r>
            <w:r w:rsidRPr="00CB630C">
              <w:t>ds and requirements</w:t>
            </w:r>
          </w:p>
          <w:p w:rsidR="00000000" w:rsidRPr="00CB630C" w:rsidP="00CB630C">
            <w:pPr>
              <w:pStyle w:val="ListBullet"/>
            </w:pPr>
            <w:r w:rsidRPr="00CB630C">
              <w:t>manufacturers</w:t>
            </w:r>
            <w:r>
              <w:t>’</w:t>
            </w:r>
            <w:r w:rsidRPr="00CB630C">
              <w:t xml:space="preserve"> specifications</w:t>
            </w:r>
          </w:p>
          <w:p w:rsidR="00000000" w:rsidP="00CB630C">
            <w:pPr>
              <w:pStyle w:val="BodyText"/>
              <w:rPr>
                <w:lang w:val="en-NZ"/>
              </w:rPr>
            </w:pPr>
          </w:p>
        </w:tc>
      </w:tr>
      <w:tr w:rsidTr="00CB630C">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Signage and barriers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CB630C" w:rsidP="00CB630C">
            <w:pPr>
              <w:pStyle w:val="ListBullet"/>
            </w:pPr>
            <w:r w:rsidRPr="00CB630C">
              <w:t>physical barriers (para webbing, bollards, timber or metal barriers)</w:t>
            </w:r>
          </w:p>
          <w:p w:rsidR="00000000" w:rsidRPr="00CB630C" w:rsidP="00CB630C">
            <w:pPr>
              <w:pStyle w:val="ListBullet"/>
            </w:pPr>
            <w:r w:rsidRPr="00CB630C">
              <w:t>warning/direction signs</w:t>
            </w:r>
          </w:p>
          <w:p w:rsidR="00000000" w:rsidRPr="00CB630C" w:rsidP="00CB630C">
            <w:pPr>
              <w:pStyle w:val="ListBullet"/>
            </w:pPr>
            <w:r w:rsidRPr="00CB630C">
              <w:t>personnel to restrict unauthorised access (spotters)</w:t>
            </w:r>
          </w:p>
          <w:p w:rsidR="00000000" w:rsidRPr="00CB630C" w:rsidP="00CB630C">
            <w:pPr>
              <w:pStyle w:val="ListBullet"/>
            </w:pPr>
            <w:r w:rsidRPr="00CB630C">
              <w:t>permit signage</w:t>
            </w:r>
          </w:p>
          <w:p w:rsidR="00000000" w:rsidP="00CB630C">
            <w:pPr>
              <w:pStyle w:val="BodyText"/>
              <w:rPr>
                <w:lang w:val="en-NZ"/>
              </w:rPr>
            </w:pPr>
          </w:p>
        </w:tc>
      </w:tr>
      <w:tr w:rsidTr="00CB630C">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Safe work practices include the following:</w:t>
            </w:r>
          </w:p>
        </w:tc>
        <w:tc>
          <w:tcPr>
            <w:tcW w:w="6529" w:type="dxa"/>
            <w:tcBorders>
              <w:top w:val="nil"/>
              <w:left w:val="nil"/>
              <w:bottom w:val="nil"/>
              <w:right w:val="nil"/>
            </w:tcBorders>
            <w:tcMar>
              <w:top w:w="0" w:type="dxa"/>
              <w:left w:w="62" w:type="dxa"/>
              <w:bottom w:w="0" w:type="dxa"/>
              <w:right w:w="62" w:type="dxa"/>
            </w:tcMar>
          </w:tcPr>
          <w:p w:rsidR="00000000" w:rsidRPr="00CB630C" w:rsidP="00CB630C">
            <w:pPr>
              <w:pStyle w:val="ListBullet"/>
            </w:pPr>
            <w:r w:rsidRPr="00CB630C">
              <w:t>hazard identification</w:t>
            </w:r>
          </w:p>
          <w:p w:rsidR="00000000" w:rsidRPr="00CB630C" w:rsidP="00CB630C">
            <w:pPr>
              <w:pStyle w:val="ListBullet"/>
            </w:pPr>
            <w:r w:rsidRPr="00CB630C">
              <w:t>control measures</w:t>
            </w:r>
          </w:p>
          <w:p w:rsidR="00000000" w:rsidRPr="00CB630C" w:rsidP="00CB630C">
            <w:pPr>
              <w:pStyle w:val="ListBullet"/>
            </w:pPr>
            <w:r w:rsidRPr="00CB630C">
              <w:t>risk assessment</w:t>
            </w:r>
          </w:p>
          <w:p w:rsidR="00000000" w:rsidRPr="00CB630C" w:rsidP="00CB630C">
            <w:pPr>
              <w:pStyle w:val="ListBullet"/>
            </w:pPr>
            <w:r w:rsidRPr="00CB630C">
              <w:t>standard operating procedures</w:t>
            </w:r>
          </w:p>
          <w:p w:rsidR="00000000" w:rsidRPr="00CB630C" w:rsidP="00CB630C">
            <w:pPr>
              <w:pStyle w:val="ListBullet"/>
            </w:pPr>
            <w:r w:rsidRPr="00CB630C">
              <w:t xml:space="preserve">housekeeping </w:t>
            </w:r>
          </w:p>
          <w:p w:rsidR="00000000" w:rsidRPr="00CB630C" w:rsidP="00CB630C">
            <w:pPr>
              <w:pStyle w:val="ListBullet"/>
            </w:pPr>
            <w:r w:rsidRPr="00CB630C">
              <w:t>PPE</w:t>
            </w:r>
          </w:p>
          <w:p w:rsidR="00000000" w:rsidP="00CB630C">
            <w:pPr>
              <w:pStyle w:val="BodyText"/>
              <w:rPr>
                <w:lang w:val="en-NZ"/>
              </w:rPr>
            </w:pPr>
          </w:p>
        </w:tc>
      </w:tr>
      <w:tr w:rsidTr="00CB630C">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CB630C">
            <w:pPr>
              <w:pStyle w:val="BodyText"/>
              <w:rPr>
                <w:lang w:val="en-NZ"/>
              </w:rPr>
            </w:pPr>
            <w:r w:rsidRPr="00CB630C">
              <w:rPr>
                <w:rStyle w:val="SpecialBold"/>
              </w:rPr>
              <w:t xml:space="preserve">State or territory legislative requirements </w:t>
            </w:r>
            <w:r w:rsidRPr="00CB630C">
              <w:rPr>
                <w:rStyle w:val="SpecialBold"/>
              </w:rPr>
              <w:t>include the following:</w:t>
            </w:r>
          </w:p>
        </w:tc>
        <w:tc>
          <w:tcPr>
            <w:tcW w:w="6529" w:type="dxa"/>
            <w:tcBorders>
              <w:top w:val="nil"/>
              <w:left w:val="nil"/>
              <w:bottom w:val="nil"/>
              <w:right w:val="nil"/>
            </w:tcBorders>
            <w:tcMar>
              <w:top w:w="0" w:type="dxa"/>
              <w:left w:w="62" w:type="dxa"/>
              <w:bottom w:w="0" w:type="dxa"/>
              <w:right w:w="62" w:type="dxa"/>
            </w:tcMar>
          </w:tcPr>
          <w:p w:rsidR="00000000" w:rsidRPr="00CB630C" w:rsidP="00CB630C">
            <w:pPr>
              <w:pStyle w:val="ListBullet"/>
            </w:pPr>
            <w:r w:rsidRPr="00CB630C">
              <w:t>appropriate WHS and Scaffolding Acts and regulations</w:t>
            </w:r>
          </w:p>
          <w:p w:rsidR="00000000" w:rsidRPr="00CB630C" w:rsidP="00CB630C">
            <w:pPr>
              <w:pStyle w:val="ListBullet"/>
            </w:pPr>
            <w:r w:rsidRPr="00CB630C">
              <w:t>Australian standards and codes of practice, including:</w:t>
            </w:r>
          </w:p>
          <w:p w:rsidR="00000000" w:rsidRPr="00CB630C" w:rsidP="00CB630C">
            <w:pPr>
              <w:pStyle w:val="ListBullet2"/>
            </w:pPr>
            <w:r w:rsidRPr="00CB630C">
              <w:t>NOHSC:1006, National Occupational Health and Safety Certification Standards for</w:t>
            </w:r>
            <w:r w:rsidRPr="00CB630C">
              <w:t xml:space="preserve"> Users and Operators of Industrial Equipment</w:t>
            </w:r>
          </w:p>
          <w:p w:rsidR="00000000" w:rsidRPr="00CB630C" w:rsidP="00CB630C">
            <w:pPr>
              <w:pStyle w:val="BodyText"/>
            </w:pPr>
          </w:p>
        </w:tc>
      </w:tr>
    </w:tbl>
    <w:p w:rsidR="00000000" w:rsidRPr="00CB630C" w:rsidP="00CB630C">
      <w:pPr>
        <w:pStyle w:val="BodyText"/>
      </w:pPr>
    </w:p>
    <w:p w:rsidR="00000000" w:rsidRPr="00CB630C" w:rsidP="00CB630C">
      <w:pPr>
        <w:pStyle w:val="AllowPageBreak"/>
      </w:pPr>
    </w:p>
    <w:p w:rsidR="00000000" w:rsidRPr="00CB630C" w:rsidP="00CB630C">
      <w:pPr>
        <w:pStyle w:val="Heading1"/>
      </w:pPr>
      <w:bookmarkStart w:id="8" w:name="O_950420"/>
      <w:bookmarkEnd w:id="8"/>
      <w:r w:rsidRPr="00CB630C">
        <w:t>Unit Mapping Information</w:t>
      </w:r>
    </w:p>
    <w:p w:rsidR="00000000" w:rsidRPr="00CB630C" w:rsidP="003A50A2">
      <w:pPr>
        <w:pStyle w:val="BodyText"/>
      </w:pPr>
      <w:r w:rsidRPr="00CB630C">
        <w:t xml:space="preserve">Release 1. Supersedes and is equivalent to MEM11003B Coordinate erection/dismantling of complex scaffolding/equipment </w:t>
      </w:r>
    </w:p>
    <w:p w:rsidR="00000000" w:rsidRPr="00CB630C" w:rsidP="00CB630C">
      <w:pPr>
        <w:pStyle w:val="Heading1"/>
      </w:pPr>
      <w:bookmarkStart w:id="9" w:name="O_950413"/>
      <w:bookmarkEnd w:id="9"/>
      <w:r w:rsidRPr="00CB630C">
        <w:t>Links</w:t>
      </w:r>
    </w:p>
    <w:p w:rsidR="00000000" w:rsidRPr="00CB630C" w:rsidP="003A50A2">
      <w:pPr>
        <w:pStyle w:val="BodyText"/>
      </w:pPr>
      <w:r w:rsidRPr="00CB630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41AC5">
        <w:rPr>
          <w:rStyle w:val="Hyperlink"/>
        </w:rPr>
        <w:t>https://vetnet.gov.au/Pages/TrainingDocs.aspx?q=b7050d37-5fd0-4740-8f7d-3b7a49c10bb2</w:t>
      </w:r>
      <w:r>
        <w:fldChar w:fldCharType="end"/>
      </w:r>
    </w:p>
    <w:p w:rsidR="00000000" w:rsidRPr="00CB630C" w:rsidP="00CB630C"/>
    <w:sectPr w:rsidSect="00CB63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C" w:rsidRPr="003A50A2" w:rsidP="003A5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A2" w:rsidP="00CB6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50A2" w:rsidP="00CB630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50A2" w:rsidP="00CB6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30C" w:rsidRPr="003A50A2" w:rsidP="003A5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0A2" w:rsidRPr="002D2AF8" w:rsidP="00CB630C">
    <w:pPr>
      <w:pStyle w:val="Header"/>
      <w:framePr w:wrap="around"/>
    </w:pPr>
    <w:r>
      <w:fldChar w:fldCharType="begin"/>
    </w:r>
    <w:r>
      <w:instrText xml:space="preserve"> TITLE   \* MERGEFORMAT </w:instrText>
    </w:r>
    <w:r>
      <w:fldChar w:fldCharType="separate"/>
    </w:r>
    <w:r>
      <w:t>MEM11003 Coordinate erection/dismantling of complex scaffolding/equipment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A50A2" w:rsidP="00CB6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8F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2ED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AE7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30C"/>
    <w:pPr>
      <w:spacing w:before="360" w:after="60"/>
      <w:outlineLvl w:val="0"/>
    </w:pPr>
    <w:rPr>
      <w:sz w:val="32"/>
    </w:rPr>
  </w:style>
  <w:style w:type="paragraph" w:styleId="Heading2">
    <w:name w:val="heading 2"/>
    <w:basedOn w:val="HeadingBase"/>
    <w:next w:val="BodyText"/>
    <w:link w:val="Heading2Char"/>
    <w:qFormat/>
    <w:rsid w:val="00CB630C"/>
    <w:pPr>
      <w:keepLines/>
      <w:spacing w:before="240" w:after="120"/>
      <w:outlineLvl w:val="1"/>
    </w:pPr>
    <w:rPr>
      <w:sz w:val="28"/>
      <w:szCs w:val="40"/>
    </w:rPr>
  </w:style>
  <w:style w:type="paragraph" w:styleId="Heading3">
    <w:name w:val="heading 3"/>
    <w:basedOn w:val="HeadingBase"/>
    <w:next w:val="BodyText"/>
    <w:link w:val="Heading3Char"/>
    <w:qFormat/>
    <w:rsid w:val="00CB630C"/>
    <w:pPr>
      <w:spacing w:before="180" w:after="120"/>
      <w:outlineLvl w:val="2"/>
    </w:pPr>
    <w:rPr>
      <w:spacing w:val="-10"/>
      <w:kern w:val="32"/>
    </w:rPr>
  </w:style>
  <w:style w:type="paragraph" w:styleId="Heading4">
    <w:name w:val="heading 4"/>
    <w:basedOn w:val="HeadingBase"/>
    <w:next w:val="BodyText"/>
    <w:link w:val="Heading4Char"/>
    <w:qFormat/>
    <w:rsid w:val="00CB630C"/>
    <w:pPr>
      <w:spacing w:before="160" w:after="120"/>
      <w:outlineLvl w:val="3"/>
    </w:pPr>
    <w:rPr>
      <w:sz w:val="22"/>
    </w:rPr>
  </w:style>
  <w:style w:type="paragraph" w:styleId="Heading5">
    <w:name w:val="heading 5"/>
    <w:basedOn w:val="HeadingBase"/>
    <w:next w:val="Normal"/>
    <w:link w:val="Heading5Char"/>
    <w:qFormat/>
    <w:rsid w:val="00CB630C"/>
    <w:pPr>
      <w:spacing w:before="80"/>
      <w:outlineLvl w:val="4"/>
    </w:pPr>
    <w:rPr>
      <w:color w:val="918585"/>
      <w:sz w:val="20"/>
    </w:rPr>
  </w:style>
  <w:style w:type="paragraph" w:styleId="Heading6">
    <w:name w:val="heading 6"/>
    <w:basedOn w:val="HeadingBase"/>
    <w:next w:val="Normal"/>
    <w:link w:val="Heading6Char"/>
    <w:qFormat/>
    <w:rsid w:val="00CB630C"/>
    <w:pPr>
      <w:spacing w:before="60"/>
      <w:outlineLvl w:val="5"/>
    </w:pPr>
    <w:rPr>
      <w:color w:val="918585"/>
      <w:sz w:val="20"/>
    </w:rPr>
  </w:style>
  <w:style w:type="paragraph" w:styleId="Heading7">
    <w:name w:val="heading 7"/>
    <w:basedOn w:val="Normal"/>
    <w:next w:val="Normal"/>
    <w:link w:val="Heading7Char"/>
    <w:qFormat/>
    <w:rsid w:val="00CB630C"/>
    <w:pPr>
      <w:ind w:left="720"/>
      <w:outlineLvl w:val="6"/>
    </w:pPr>
    <w:rPr>
      <w:i/>
    </w:rPr>
  </w:style>
  <w:style w:type="paragraph" w:styleId="Heading8">
    <w:name w:val="heading 8"/>
    <w:basedOn w:val="Normal"/>
    <w:next w:val="Normal"/>
    <w:link w:val="Heading8Char"/>
    <w:qFormat/>
    <w:rsid w:val="00CB630C"/>
    <w:pPr>
      <w:ind w:left="720"/>
      <w:outlineLvl w:val="7"/>
    </w:pPr>
    <w:rPr>
      <w:i/>
    </w:rPr>
  </w:style>
  <w:style w:type="paragraph" w:styleId="Heading9">
    <w:name w:val="heading 9"/>
    <w:basedOn w:val="Normal"/>
    <w:next w:val="Normal"/>
    <w:link w:val="Heading9Char"/>
    <w:qFormat/>
    <w:rsid w:val="00CB630C"/>
    <w:pPr>
      <w:ind w:left="720"/>
      <w:outlineLvl w:val="8"/>
    </w:pPr>
    <w:rPr>
      <w:i/>
    </w:rPr>
  </w:style>
  <w:style w:type="character" w:default="1" w:styleId="DefaultParagraphFont">
    <w:name w:val="Default Paragraph Font"/>
    <w:uiPriority w:val="1"/>
    <w:unhideWhenUsed/>
    <w:rsid w:val="00CB6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30C"/>
  </w:style>
  <w:style w:type="character" w:customStyle="1" w:styleId="Heading1Char">
    <w:name w:val="Heading 1 Char"/>
    <w:basedOn w:val="DefaultParagraphFont"/>
    <w:link w:val="Heading1"/>
    <w:rsid w:val="00CB630C"/>
    <w:rPr>
      <w:rFonts w:ascii="Times New Roman" w:eastAsia="Times New Roman" w:hAnsi="Times New Roman" w:cs="Times New Roman"/>
      <w:b/>
      <w:sz w:val="32"/>
      <w:szCs w:val="20"/>
      <w:lang w:eastAsia="en-US"/>
    </w:rPr>
  </w:style>
  <w:style w:type="paragraph" w:styleId="BodyText">
    <w:name w:val="Body Text"/>
    <w:basedOn w:val="Normal"/>
    <w:link w:val="BodyTextChar"/>
    <w:rsid w:val="00CB6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30C"/>
    <w:rPr>
      <w:rFonts w:ascii="Times New Roman" w:eastAsia="Times New Roman" w:hAnsi="Times New Roman" w:cs="Times New Roman"/>
      <w:sz w:val="24"/>
      <w:lang w:eastAsia="en-US"/>
    </w:rPr>
  </w:style>
  <w:style w:type="paragraph" w:styleId="ListBullet">
    <w:name w:val="List Bullet"/>
    <w:basedOn w:val="List"/>
    <w:rsid w:val="00CB630C"/>
    <w:pPr>
      <w:numPr>
        <w:numId w:val="12"/>
      </w:numPr>
      <w:tabs>
        <w:tab w:val="clear" w:pos="340"/>
      </w:tabs>
      <w:spacing w:before="40" w:after="40"/>
    </w:pPr>
  </w:style>
  <w:style w:type="character" w:customStyle="1" w:styleId="SpecialBold">
    <w:name w:val="Special Bold"/>
    <w:basedOn w:val="DefaultParagraphFont"/>
    <w:rsid w:val="00CB630C"/>
    <w:rPr>
      <w:b/>
      <w:spacing w:val="0"/>
    </w:rPr>
  </w:style>
  <w:style w:type="paragraph" w:styleId="ListBullet2">
    <w:name w:val="List Bullet 2"/>
    <w:basedOn w:val="List2"/>
    <w:rsid w:val="00CB630C"/>
    <w:pPr>
      <w:numPr>
        <w:numId w:val="13"/>
      </w:numPr>
      <w:tabs>
        <w:tab w:val="clear" w:pos="680"/>
      </w:tabs>
    </w:pPr>
  </w:style>
  <w:style w:type="paragraph" w:customStyle="1" w:styleId="SuperHeading">
    <w:name w:val="SuperHeading"/>
    <w:basedOn w:val="Normal"/>
    <w:rsid w:val="00CB630C"/>
    <w:pPr>
      <w:spacing w:before="240" w:after="120"/>
      <w:outlineLvl w:val="0"/>
    </w:pPr>
    <w:rPr>
      <w:rFonts w:ascii="Times New Roman" w:hAnsi="Times New Roman"/>
      <w:b/>
      <w:sz w:val="32"/>
    </w:rPr>
  </w:style>
  <w:style w:type="paragraph" w:customStyle="1" w:styleId="AllowPageBreak">
    <w:name w:val="AllowPageBreak"/>
    <w:rsid w:val="00CB6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30C"/>
    <w:rPr>
      <w:rFonts w:ascii="Courier New" w:eastAsia="Times New Roman" w:hAnsi="Courier New" w:cs="Times New Roman"/>
      <w:i/>
      <w:szCs w:val="20"/>
      <w:lang w:eastAsia="en-US"/>
    </w:rPr>
  </w:style>
  <w:style w:type="paragraph" w:customStyle="1" w:styleId="HeadingBase">
    <w:name w:val="Heading Base"/>
    <w:rsid w:val="00CB6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30C"/>
    <w:pPr>
      <w:tabs>
        <w:tab w:val="right" w:leader="dot" w:pos="9072"/>
      </w:tabs>
      <w:ind w:left="567"/>
    </w:pPr>
    <w:rPr>
      <w:szCs w:val="22"/>
    </w:rPr>
  </w:style>
  <w:style w:type="paragraph" w:customStyle="1" w:styleId="TOCBase">
    <w:name w:val="TOC Base"/>
    <w:rsid w:val="00CB6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30C"/>
    <w:pPr>
      <w:tabs>
        <w:tab w:val="right" w:leader="dot" w:pos="9072"/>
      </w:tabs>
      <w:spacing w:before="40" w:after="40"/>
      <w:ind w:left="284"/>
    </w:pPr>
    <w:rPr>
      <w:rFonts w:ascii="Times New Roman" w:hAnsi="Times New Roman"/>
    </w:rPr>
  </w:style>
  <w:style w:type="paragraph" w:styleId="TOC1">
    <w:name w:val="toc 1"/>
    <w:basedOn w:val="TOCBase"/>
    <w:next w:val="Normal"/>
    <w:rsid w:val="00CB6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30C"/>
    <w:rPr>
      <w:rFonts w:ascii="Times New Roman" w:eastAsia="Times New Roman" w:hAnsi="Times New Roman" w:cs="Times New Roman"/>
      <w:sz w:val="16"/>
      <w:lang w:eastAsia="en-US"/>
    </w:rPr>
  </w:style>
  <w:style w:type="paragraph" w:styleId="Title">
    <w:name w:val="Title"/>
    <w:basedOn w:val="HeadingBase"/>
    <w:link w:val="TitleChar"/>
    <w:qFormat/>
    <w:rsid w:val="00CB630C"/>
    <w:pPr>
      <w:spacing w:before="5040"/>
      <w:jc w:val="center"/>
    </w:pPr>
    <w:rPr>
      <w:sz w:val="48"/>
      <w:szCs w:val="72"/>
      <w:lang w:val="en-US"/>
    </w:rPr>
  </w:style>
  <w:style w:type="character" w:customStyle="1" w:styleId="TitleChar">
    <w:name w:val="Title Char"/>
    <w:basedOn w:val="DefaultParagraphFont"/>
    <w:link w:val="Title"/>
    <w:rsid w:val="00CB6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30C"/>
    <w:pPr>
      <w:tabs>
        <w:tab w:val="left" w:pos="3600"/>
        <w:tab w:val="left" w:pos="3958"/>
      </w:tabs>
    </w:pPr>
  </w:style>
  <w:style w:type="paragraph" w:styleId="List">
    <w:name w:val="List"/>
    <w:basedOn w:val="BodyText"/>
    <w:next w:val="BodyText"/>
    <w:rsid w:val="00CB630C"/>
    <w:pPr>
      <w:tabs>
        <w:tab w:val="left" w:pos="340"/>
      </w:tabs>
      <w:spacing w:before="60" w:after="60"/>
      <w:ind w:left="340" w:hanging="340"/>
    </w:pPr>
  </w:style>
  <w:style w:type="paragraph" w:customStyle="1" w:styleId="Note">
    <w:name w:val="Note"/>
    <w:basedOn w:val="BodyText"/>
    <w:rsid w:val="00CB6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30C"/>
    <w:pPr>
      <w:framePr w:wrap="auto" w:hAnchor="text" w:y="6049"/>
    </w:pPr>
    <w:rPr>
      <w:color w:val="000000"/>
      <w:sz w:val="40"/>
    </w:rPr>
  </w:style>
  <w:style w:type="paragraph" w:customStyle="1" w:styleId="TOCTitle">
    <w:name w:val="TOCTitle"/>
    <w:basedOn w:val="Heading1"/>
    <w:rsid w:val="00CB630C"/>
    <w:pPr>
      <w:spacing w:after="240"/>
      <w:jc w:val="center"/>
      <w:outlineLvl w:val="9"/>
    </w:pPr>
    <w:rPr>
      <w:caps/>
    </w:rPr>
  </w:style>
  <w:style w:type="paragraph" w:customStyle="1" w:styleId="Version">
    <w:name w:val="Version"/>
    <w:rsid w:val="00CB6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30C"/>
    <w:pPr>
      <w:keepNext w:val="0"/>
      <w:tabs>
        <w:tab w:val="right" w:pos="4176"/>
      </w:tabs>
      <w:ind w:left="198" w:hanging="198"/>
    </w:pPr>
    <w:rPr>
      <w:rFonts w:ascii="Garamond" w:hAnsi="Garamond"/>
    </w:rPr>
  </w:style>
  <w:style w:type="paragraph" w:styleId="IndexHeading">
    <w:name w:val="index heading"/>
    <w:basedOn w:val="Normal"/>
    <w:next w:val="Index1"/>
    <w:semiHidden/>
    <w:rsid w:val="00CB630C"/>
    <w:pPr>
      <w:spacing w:before="120" w:after="120"/>
    </w:pPr>
    <w:rPr>
      <w:rFonts w:ascii="Arial" w:hAnsi="Arial"/>
      <w:b/>
      <w:color w:val="918585"/>
      <w:sz w:val="24"/>
    </w:rPr>
  </w:style>
  <w:style w:type="paragraph" w:styleId="Header">
    <w:name w:val="header"/>
    <w:basedOn w:val="Normal"/>
    <w:link w:val="HeaderChar"/>
    <w:rsid w:val="00CB6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30C"/>
    <w:rPr>
      <w:rFonts w:ascii="Times New Roman" w:eastAsia="Times New Roman" w:hAnsi="Times New Roman" w:cs="Times New Roman"/>
      <w:sz w:val="16"/>
      <w:szCs w:val="20"/>
      <w:lang w:val="en-GB" w:eastAsia="en-US"/>
    </w:rPr>
  </w:style>
  <w:style w:type="paragraph" w:customStyle="1" w:styleId="Chapter">
    <w:name w:val="Chapter"/>
    <w:basedOn w:val="Normal"/>
    <w:rsid w:val="00CB630C"/>
    <w:pPr>
      <w:spacing w:before="240"/>
    </w:pPr>
    <w:rPr>
      <w:rFonts w:ascii="Times New Roman" w:hAnsi="Times New Roman"/>
      <w:smallCaps/>
      <w:spacing w:val="80"/>
      <w:sz w:val="28"/>
    </w:rPr>
  </w:style>
  <w:style w:type="paragraph" w:customStyle="1" w:styleId="InChapter">
    <w:name w:val="InChapter"/>
    <w:basedOn w:val="Heading3"/>
    <w:rsid w:val="00CB630C"/>
    <w:pPr>
      <w:spacing w:after="240"/>
      <w:outlineLvl w:val="9"/>
    </w:pPr>
    <w:rPr>
      <w:noProof/>
    </w:rPr>
  </w:style>
  <w:style w:type="paragraph" w:styleId="Index2">
    <w:name w:val="index 2"/>
    <w:basedOn w:val="Normal"/>
    <w:next w:val="Normal"/>
    <w:semiHidden/>
    <w:rsid w:val="00CB630C"/>
    <w:pPr>
      <w:tabs>
        <w:tab w:val="right" w:pos="4176"/>
      </w:tabs>
      <w:ind w:left="568" w:hanging="284"/>
    </w:pPr>
    <w:rPr>
      <w:rFonts w:ascii="Garamond" w:hAnsi="Garamond"/>
    </w:rPr>
  </w:style>
  <w:style w:type="paragraph" w:customStyle="1" w:styleId="Byline">
    <w:name w:val="Byline"/>
    <w:rsid w:val="00CB6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30C"/>
    <w:pPr>
      <w:tabs>
        <w:tab w:val="clear" w:pos="3600"/>
        <w:tab w:val="clear" w:pos="3958"/>
      </w:tabs>
      <w:jc w:val="right"/>
    </w:pPr>
  </w:style>
  <w:style w:type="character" w:styleId="Emphasis">
    <w:name w:val="Emphasis"/>
    <w:basedOn w:val="DefaultParagraphFont"/>
    <w:qFormat/>
    <w:rsid w:val="00CB630C"/>
    <w:rPr>
      <w:i/>
    </w:rPr>
  </w:style>
  <w:style w:type="paragraph" w:styleId="Caption">
    <w:name w:val="caption"/>
    <w:basedOn w:val="BodyText"/>
    <w:next w:val="Normal"/>
    <w:qFormat/>
    <w:rsid w:val="00CB630C"/>
    <w:pPr>
      <w:framePr w:w="2268" w:hSpace="181" w:vSpace="181" w:wrap="around" w:vAnchor="text" w:hAnchor="page" w:x="1135" w:y="285" w:anchorLock="1"/>
    </w:pPr>
    <w:rPr>
      <w:i/>
    </w:rPr>
  </w:style>
  <w:style w:type="paragraph" w:customStyle="1" w:styleId="MiniTOCTitle">
    <w:name w:val="MiniTOCTitle"/>
    <w:basedOn w:val="Heading4"/>
    <w:rsid w:val="00CB630C"/>
    <w:pPr>
      <w:spacing w:before="240"/>
      <w:outlineLvl w:val="9"/>
    </w:pPr>
    <w:rPr>
      <w:noProof/>
      <w:sz w:val="24"/>
    </w:rPr>
  </w:style>
  <w:style w:type="paragraph" w:customStyle="1" w:styleId="MiniTOCItem">
    <w:name w:val="MiniTOCItem"/>
    <w:basedOn w:val="ListBullet"/>
    <w:rsid w:val="00CB630C"/>
    <w:pPr>
      <w:numPr>
        <w:numId w:val="0"/>
      </w:numPr>
      <w:tabs>
        <w:tab w:val="right" w:leader="dot" w:pos="6521"/>
      </w:tabs>
      <w:spacing w:before="0" w:after="0"/>
    </w:pPr>
  </w:style>
  <w:style w:type="paragraph" w:customStyle="1" w:styleId="TOFTitle">
    <w:name w:val="TOFTitle"/>
    <w:basedOn w:val="TOCTitle"/>
    <w:rsid w:val="00CB630C"/>
  </w:style>
  <w:style w:type="paragraph" w:styleId="TableofFigures">
    <w:name w:val="table of figures"/>
    <w:basedOn w:val="Normal"/>
    <w:next w:val="Normal"/>
    <w:semiHidden/>
    <w:rsid w:val="00CB630C"/>
    <w:pPr>
      <w:tabs>
        <w:tab w:val="right" w:leader="dot" w:pos="9072"/>
      </w:tabs>
      <w:ind w:left="970" w:hanging="403"/>
    </w:pPr>
    <w:rPr>
      <w:rFonts w:ascii="Times New Roman" w:hAnsi="Times New Roman"/>
      <w:b/>
    </w:rPr>
  </w:style>
  <w:style w:type="paragraph" w:styleId="ListNumber">
    <w:name w:val="List Number"/>
    <w:basedOn w:val="List"/>
    <w:rsid w:val="00CB630C"/>
    <w:pPr>
      <w:numPr>
        <w:numId w:val="15"/>
      </w:numPr>
      <w:tabs>
        <w:tab w:val="clear" w:pos="340"/>
      </w:tabs>
    </w:pPr>
  </w:style>
  <w:style w:type="character" w:customStyle="1" w:styleId="WingdingSymbols">
    <w:name w:val="Wingding Symbols"/>
    <w:rsid w:val="00CB630C"/>
    <w:rPr>
      <w:rFonts w:ascii="Wingdings" w:hAnsi="Wingdings"/>
    </w:rPr>
  </w:style>
  <w:style w:type="paragraph" w:customStyle="1" w:styleId="TableHeading">
    <w:name w:val="Table Heading"/>
    <w:basedOn w:val="HeadingBase"/>
    <w:rsid w:val="00CB630C"/>
    <w:pPr>
      <w:keepLines/>
      <w:pBdr>
        <w:bottom w:val="single" w:sz="6" w:space="1" w:color="918585"/>
      </w:pBdr>
      <w:spacing w:before="240"/>
    </w:pPr>
  </w:style>
  <w:style w:type="character" w:customStyle="1" w:styleId="HotSpot">
    <w:name w:val="HotSpot"/>
    <w:rsid w:val="00CB630C"/>
    <w:rPr>
      <w:color w:val="0033CC"/>
      <w:u w:val="none"/>
    </w:rPr>
  </w:style>
  <w:style w:type="paragraph" w:customStyle="1" w:styleId="BodyTextRight">
    <w:name w:val="Body Text Right"/>
    <w:basedOn w:val="BodyText"/>
    <w:rsid w:val="00CB630C"/>
    <w:pPr>
      <w:spacing w:before="0" w:after="0"/>
      <w:jc w:val="right"/>
    </w:pPr>
  </w:style>
  <w:style w:type="paragraph" w:styleId="Index3">
    <w:name w:val="index 3"/>
    <w:basedOn w:val="ListNumber2"/>
    <w:next w:val="Normal"/>
    <w:semiHidden/>
    <w:rsid w:val="00CB630C"/>
    <w:pPr>
      <w:numPr>
        <w:numId w:val="0"/>
      </w:numPr>
      <w:tabs>
        <w:tab w:val="right" w:leader="dot" w:pos="4176"/>
      </w:tabs>
    </w:pPr>
  </w:style>
  <w:style w:type="paragraph" w:styleId="ListNumber2">
    <w:name w:val="List Number 2"/>
    <w:basedOn w:val="List2"/>
    <w:rsid w:val="00CB630C"/>
    <w:pPr>
      <w:numPr>
        <w:numId w:val="10"/>
      </w:numPr>
      <w:tabs>
        <w:tab w:val="clear" w:pos="1060"/>
      </w:tabs>
    </w:pPr>
  </w:style>
  <w:style w:type="paragraph" w:customStyle="1" w:styleId="MarginNote">
    <w:name w:val="Margin Note"/>
    <w:basedOn w:val="BodyText"/>
    <w:rsid w:val="00CB6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30C"/>
    <w:rPr>
      <w:sz w:val="32"/>
    </w:rPr>
  </w:style>
  <w:style w:type="paragraph" w:customStyle="1" w:styleId="HeadingProcedure">
    <w:name w:val="Heading Procedure"/>
    <w:basedOn w:val="HeadingBase"/>
    <w:next w:val="Normal"/>
    <w:rsid w:val="00CB630C"/>
    <w:pPr>
      <w:tabs>
        <w:tab w:val="left" w:pos="0"/>
      </w:tabs>
      <w:spacing w:before="120" w:after="60"/>
    </w:pPr>
    <w:rPr>
      <w:i/>
      <w:color w:val="918585"/>
      <w:sz w:val="22"/>
    </w:rPr>
  </w:style>
  <w:style w:type="paragraph" w:customStyle="1" w:styleId="TableBodyText">
    <w:name w:val="Table Body Text"/>
    <w:basedOn w:val="BodyText"/>
    <w:rsid w:val="00CB630C"/>
    <w:pPr>
      <w:spacing w:before="60" w:after="60"/>
    </w:pPr>
  </w:style>
  <w:style w:type="paragraph" w:styleId="ListContinue">
    <w:name w:val="List Continue"/>
    <w:basedOn w:val="List"/>
    <w:rsid w:val="00CB630C"/>
    <w:pPr>
      <w:ind w:firstLine="0"/>
    </w:pPr>
  </w:style>
  <w:style w:type="paragraph" w:customStyle="1" w:styleId="ListNote">
    <w:name w:val="List Note"/>
    <w:basedOn w:val="List"/>
    <w:rsid w:val="00CB630C"/>
    <w:pPr>
      <w:pBdr>
        <w:top w:val="single" w:sz="6" w:space="2" w:color="918585"/>
        <w:bottom w:val="single" w:sz="6" w:space="2" w:color="918585"/>
      </w:pBdr>
      <w:tabs>
        <w:tab w:val="left" w:pos="1021"/>
      </w:tabs>
      <w:ind w:firstLine="0"/>
    </w:pPr>
  </w:style>
  <w:style w:type="paragraph" w:customStyle="1" w:styleId="Warning">
    <w:name w:val="Warning"/>
    <w:basedOn w:val="BodyText"/>
    <w:rsid w:val="00CB630C"/>
    <w:pPr>
      <w:shd w:val="clear" w:color="auto" w:fill="D9D9D9"/>
      <w:tabs>
        <w:tab w:val="left" w:pos="992"/>
      </w:tabs>
      <w:ind w:left="119" w:right="119"/>
    </w:pPr>
    <w:rPr>
      <w:sz w:val="20"/>
    </w:rPr>
  </w:style>
  <w:style w:type="paragraph" w:customStyle="1" w:styleId="MarginIcons">
    <w:name w:val="Margin Icons"/>
    <w:basedOn w:val="BodyText"/>
    <w:rsid w:val="00CB6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30C"/>
    <w:rPr>
      <w:rFonts w:ascii="Courier New" w:hAnsi="Courier New"/>
    </w:rPr>
  </w:style>
  <w:style w:type="paragraph" w:customStyle="1" w:styleId="NoteBullet">
    <w:name w:val="Note Bullet"/>
    <w:basedOn w:val="Note"/>
    <w:rsid w:val="00CB630C"/>
    <w:pPr>
      <w:tabs>
        <w:tab w:val="clear" w:pos="680"/>
      </w:tabs>
      <w:spacing w:before="60" w:after="60"/>
    </w:pPr>
  </w:style>
  <w:style w:type="paragraph" w:customStyle="1" w:styleId="SubHeading2">
    <w:name w:val="SubHeading2"/>
    <w:basedOn w:val="HeadingBase"/>
    <w:rsid w:val="00CB630C"/>
    <w:pPr>
      <w:spacing w:before="240" w:after="60"/>
    </w:pPr>
    <w:rPr>
      <w:sz w:val="20"/>
    </w:rPr>
  </w:style>
  <w:style w:type="paragraph" w:customStyle="1" w:styleId="SubHeading1">
    <w:name w:val="SubHeading1"/>
    <w:basedOn w:val="HeadingBase"/>
    <w:rsid w:val="00CB630C"/>
    <w:pPr>
      <w:spacing w:before="240" w:after="60"/>
    </w:pPr>
    <w:rPr>
      <w:color w:val="918585"/>
      <w:sz w:val="22"/>
    </w:rPr>
  </w:style>
  <w:style w:type="paragraph" w:customStyle="1" w:styleId="SideHeading">
    <w:name w:val="Side Heading"/>
    <w:basedOn w:val="HeadingBase"/>
    <w:rsid w:val="00CB6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30C"/>
    <w:pPr>
      <w:tabs>
        <w:tab w:val="num" w:pos="360"/>
      </w:tabs>
    </w:pPr>
  </w:style>
  <w:style w:type="paragraph" w:styleId="PlainText">
    <w:name w:val="Plain Text"/>
    <w:basedOn w:val="Normal"/>
    <w:link w:val="PlainTextChar"/>
    <w:rsid w:val="00CB630C"/>
    <w:rPr>
      <w:sz w:val="20"/>
    </w:rPr>
  </w:style>
  <w:style w:type="character" w:customStyle="1" w:styleId="PlainTextChar">
    <w:name w:val="Plain Text Char"/>
    <w:basedOn w:val="DefaultParagraphFont"/>
    <w:link w:val="PlainText"/>
    <w:rsid w:val="00CB630C"/>
    <w:rPr>
      <w:rFonts w:ascii="Courier New" w:eastAsia="Times New Roman" w:hAnsi="Courier New" w:cs="Times New Roman"/>
      <w:sz w:val="20"/>
      <w:szCs w:val="20"/>
      <w:lang w:eastAsia="en-US"/>
    </w:rPr>
  </w:style>
  <w:style w:type="character" w:customStyle="1" w:styleId="MenuOption">
    <w:name w:val="Menu Option"/>
    <w:basedOn w:val="DefaultParagraphFont"/>
    <w:rsid w:val="00CB630C"/>
    <w:rPr>
      <w:b/>
      <w:smallCaps/>
    </w:rPr>
  </w:style>
  <w:style w:type="paragraph" w:customStyle="1" w:styleId="TableListNumber">
    <w:name w:val="Table List Number"/>
    <w:basedOn w:val="ListNumber"/>
    <w:rsid w:val="00CB630C"/>
    <w:pPr>
      <w:numPr>
        <w:numId w:val="0"/>
      </w:numPr>
    </w:pPr>
  </w:style>
  <w:style w:type="paragraph" w:styleId="TOC4">
    <w:name w:val="toc 4"/>
    <w:basedOn w:val="TOCBase"/>
    <w:next w:val="Normal"/>
    <w:semiHidden/>
    <w:rsid w:val="00CB630C"/>
    <w:pPr>
      <w:tabs>
        <w:tab w:val="right" w:leader="dot" w:pos="9071"/>
      </w:tabs>
      <w:ind w:left="1701"/>
    </w:pPr>
  </w:style>
  <w:style w:type="paragraph" w:customStyle="1" w:styleId="ListAlpha">
    <w:name w:val="List Alpha"/>
    <w:basedOn w:val="List"/>
    <w:rsid w:val="00CB630C"/>
    <w:pPr>
      <w:numPr>
        <w:numId w:val="9"/>
      </w:numPr>
    </w:pPr>
  </w:style>
  <w:style w:type="paragraph" w:customStyle="1" w:styleId="ListAlpha2">
    <w:name w:val="List Alpha 2"/>
    <w:basedOn w:val="List2"/>
    <w:rsid w:val="00CB630C"/>
    <w:pPr>
      <w:numPr>
        <w:numId w:val="8"/>
      </w:numPr>
    </w:pPr>
  </w:style>
  <w:style w:type="paragraph" w:styleId="List2">
    <w:name w:val="List 2"/>
    <w:basedOn w:val="BodyText"/>
    <w:rsid w:val="00CB630C"/>
    <w:pPr>
      <w:tabs>
        <w:tab w:val="left" w:pos="680"/>
      </w:tabs>
      <w:spacing w:before="60" w:after="60"/>
      <w:ind w:left="680" w:hanging="340"/>
    </w:pPr>
  </w:style>
  <w:style w:type="paragraph" w:styleId="List3">
    <w:name w:val="List 3"/>
    <w:basedOn w:val="BodyText"/>
    <w:rsid w:val="00CB630C"/>
    <w:pPr>
      <w:tabs>
        <w:tab w:val="left" w:pos="1021"/>
      </w:tabs>
      <w:spacing w:before="60" w:after="60"/>
      <w:ind w:left="1020" w:hanging="340"/>
    </w:pPr>
  </w:style>
  <w:style w:type="paragraph" w:styleId="List4">
    <w:name w:val="List 4"/>
    <w:basedOn w:val="BodyText"/>
    <w:rsid w:val="00CB630C"/>
    <w:pPr>
      <w:tabs>
        <w:tab w:val="left" w:pos="1361"/>
      </w:tabs>
      <w:spacing w:before="60" w:after="60"/>
      <w:ind w:left="1361" w:hanging="340"/>
    </w:pPr>
  </w:style>
  <w:style w:type="paragraph" w:styleId="List5">
    <w:name w:val="List 5"/>
    <w:basedOn w:val="BodyText"/>
    <w:rsid w:val="00CB630C"/>
    <w:pPr>
      <w:tabs>
        <w:tab w:val="left" w:pos="1701"/>
      </w:tabs>
      <w:spacing w:before="60" w:after="60"/>
      <w:ind w:left="1701" w:hanging="340"/>
    </w:pPr>
  </w:style>
  <w:style w:type="paragraph" w:styleId="ListBullet3">
    <w:name w:val="List Bullet 3"/>
    <w:basedOn w:val="List3"/>
    <w:rsid w:val="00CB630C"/>
    <w:pPr>
      <w:numPr>
        <w:numId w:val="14"/>
      </w:numPr>
      <w:tabs>
        <w:tab w:val="clear" w:pos="1021"/>
      </w:tabs>
      <w:ind w:left="1037" w:hanging="357"/>
    </w:pPr>
  </w:style>
  <w:style w:type="paragraph" w:styleId="ListBullet4">
    <w:name w:val="List Bullet 4"/>
    <w:basedOn w:val="List4"/>
    <w:rsid w:val="00CB630C"/>
    <w:pPr>
      <w:numPr>
        <w:numId w:val="3"/>
      </w:numPr>
      <w:tabs>
        <w:tab w:val="clear" w:pos="1361"/>
      </w:tabs>
    </w:pPr>
  </w:style>
  <w:style w:type="paragraph" w:styleId="ListBullet5">
    <w:name w:val="List Bullet 5"/>
    <w:basedOn w:val="List5"/>
    <w:rsid w:val="00CB630C"/>
    <w:pPr>
      <w:numPr>
        <w:numId w:val="4"/>
      </w:numPr>
    </w:pPr>
  </w:style>
  <w:style w:type="paragraph" w:styleId="ListContinue2">
    <w:name w:val="List Continue 2"/>
    <w:basedOn w:val="List2"/>
    <w:rsid w:val="00CB630C"/>
    <w:pPr>
      <w:ind w:firstLine="0"/>
    </w:pPr>
  </w:style>
  <w:style w:type="paragraph" w:styleId="ListContinue3">
    <w:name w:val="List Continue 3"/>
    <w:basedOn w:val="List3"/>
    <w:rsid w:val="00CB630C"/>
    <w:pPr>
      <w:ind w:left="1021" w:firstLine="0"/>
    </w:pPr>
  </w:style>
  <w:style w:type="paragraph" w:styleId="ListContinue4">
    <w:name w:val="List Continue 4"/>
    <w:basedOn w:val="List4"/>
    <w:rsid w:val="00CB630C"/>
    <w:pPr>
      <w:ind w:firstLine="0"/>
    </w:pPr>
  </w:style>
  <w:style w:type="paragraph" w:styleId="ListContinue5">
    <w:name w:val="List Continue 5"/>
    <w:basedOn w:val="List5"/>
    <w:rsid w:val="00CB630C"/>
    <w:pPr>
      <w:ind w:firstLine="0"/>
    </w:pPr>
  </w:style>
  <w:style w:type="paragraph" w:styleId="ListNumber3">
    <w:name w:val="List Number 3"/>
    <w:basedOn w:val="List3"/>
    <w:rsid w:val="00CB630C"/>
    <w:pPr>
      <w:numPr>
        <w:numId w:val="5"/>
      </w:numPr>
    </w:pPr>
  </w:style>
  <w:style w:type="paragraph" w:styleId="ListNumber4">
    <w:name w:val="List Number 4"/>
    <w:basedOn w:val="List4"/>
    <w:rsid w:val="00CB630C"/>
    <w:pPr>
      <w:numPr>
        <w:numId w:val="6"/>
      </w:numPr>
    </w:pPr>
  </w:style>
  <w:style w:type="paragraph" w:styleId="ListNumber5">
    <w:name w:val="List Number 5"/>
    <w:basedOn w:val="List5"/>
    <w:rsid w:val="00CB630C"/>
    <w:pPr>
      <w:numPr>
        <w:numId w:val="7"/>
      </w:numPr>
    </w:pPr>
  </w:style>
  <w:style w:type="paragraph" w:styleId="BlockText">
    <w:name w:val="Block Text"/>
    <w:basedOn w:val="Normal"/>
    <w:rsid w:val="00CB630C"/>
    <w:pPr>
      <w:spacing w:after="120"/>
      <w:ind w:left="1440" w:right="1440"/>
    </w:pPr>
  </w:style>
  <w:style w:type="character" w:customStyle="1" w:styleId="Subscript">
    <w:name w:val="Subscript"/>
    <w:basedOn w:val="DefaultParagraphFont"/>
    <w:rsid w:val="00CB630C"/>
    <w:rPr>
      <w:sz w:val="16"/>
      <w:vertAlign w:val="subscript"/>
    </w:rPr>
  </w:style>
  <w:style w:type="character" w:customStyle="1" w:styleId="Superscript">
    <w:name w:val="Superscript"/>
    <w:basedOn w:val="DefaultParagraphFont"/>
    <w:rsid w:val="00CB630C"/>
    <w:rPr>
      <w:sz w:val="16"/>
      <w:vertAlign w:val="superscript"/>
    </w:rPr>
  </w:style>
  <w:style w:type="character" w:customStyle="1" w:styleId="Symbols">
    <w:name w:val="Symbols"/>
    <w:basedOn w:val="DefaultParagraphFont"/>
    <w:rsid w:val="00CB630C"/>
    <w:rPr>
      <w:rFonts w:ascii="Symbol" w:hAnsi="Symbol"/>
    </w:rPr>
  </w:style>
  <w:style w:type="character" w:customStyle="1" w:styleId="MenuOptions">
    <w:name w:val="Menu Options"/>
    <w:basedOn w:val="DefaultParagraphFont"/>
    <w:rsid w:val="00CB630C"/>
    <w:rPr>
      <w:rFonts w:ascii="Arial Narrow" w:hAnsi="Arial Narrow"/>
      <w:smallCaps/>
    </w:rPr>
  </w:style>
  <w:style w:type="character" w:customStyle="1" w:styleId="Buttons">
    <w:name w:val="Buttons"/>
    <w:basedOn w:val="DefaultParagraphFont"/>
    <w:rsid w:val="00CB630C"/>
    <w:rPr>
      <w:b/>
    </w:rPr>
  </w:style>
  <w:style w:type="character" w:customStyle="1" w:styleId="Underlined">
    <w:name w:val="Underlined"/>
    <w:basedOn w:val="DefaultParagraphFont"/>
    <w:rsid w:val="00CB630C"/>
    <w:rPr>
      <w:u w:val="single"/>
    </w:rPr>
  </w:style>
  <w:style w:type="paragraph" w:customStyle="1" w:styleId="TableBodyTextRight">
    <w:name w:val="Table Body Text Right"/>
    <w:basedOn w:val="TableBodyText"/>
    <w:rsid w:val="00CB630C"/>
    <w:pPr>
      <w:widowControl w:val="0"/>
      <w:autoSpaceDE w:val="0"/>
      <w:autoSpaceDN w:val="0"/>
      <w:adjustRightInd w:val="0"/>
      <w:jc w:val="right"/>
    </w:pPr>
    <w:rPr>
      <w:rFonts w:cs="Arial"/>
      <w:szCs w:val="18"/>
    </w:rPr>
  </w:style>
  <w:style w:type="paragraph" w:customStyle="1" w:styleId="CopyrightText">
    <w:name w:val="Copyright Text"/>
    <w:basedOn w:val="BodyText"/>
    <w:rsid w:val="00CB630C"/>
    <w:rPr>
      <w:sz w:val="18"/>
    </w:rPr>
  </w:style>
  <w:style w:type="paragraph" w:customStyle="1" w:styleId="BodySmallRight">
    <w:name w:val="Body Small Right"/>
    <w:basedOn w:val="BodyTextRight"/>
    <w:rsid w:val="00CB630C"/>
    <w:rPr>
      <w:sz w:val="18"/>
      <w:szCs w:val="18"/>
    </w:rPr>
  </w:style>
  <w:style w:type="paragraph" w:customStyle="1" w:styleId="MarginEdition">
    <w:name w:val="Margin Edition"/>
    <w:basedOn w:val="MarginNote"/>
    <w:rsid w:val="00CB630C"/>
    <w:pPr>
      <w:spacing w:before="0" w:after="0"/>
    </w:pPr>
    <w:rPr>
      <w:rFonts w:ascii="Times New Roman" w:hAnsi="Times New Roman"/>
      <w:color w:val="999999"/>
    </w:rPr>
  </w:style>
  <w:style w:type="paragraph" w:customStyle="1" w:styleId="Spacer">
    <w:name w:val="Spacer"/>
    <w:basedOn w:val="Normal"/>
    <w:rsid w:val="00CB630C"/>
    <w:rPr>
      <w:sz w:val="2"/>
      <w:szCs w:val="2"/>
    </w:rPr>
  </w:style>
  <w:style w:type="character" w:customStyle="1" w:styleId="Small">
    <w:name w:val="Small"/>
    <w:basedOn w:val="DefaultParagraphFont"/>
    <w:rsid w:val="00CB630C"/>
    <w:rPr>
      <w:sz w:val="16"/>
    </w:rPr>
  </w:style>
  <w:style w:type="paragraph" w:customStyle="1" w:styleId="WideTable">
    <w:name w:val="Wide Table"/>
    <w:basedOn w:val="Normal"/>
    <w:rsid w:val="00CB630C"/>
    <w:pPr>
      <w:ind w:left="-1418"/>
    </w:pPr>
    <w:rPr>
      <w:sz w:val="2"/>
      <w:szCs w:val="2"/>
    </w:rPr>
  </w:style>
  <w:style w:type="character" w:styleId="PageNumber">
    <w:name w:val="page number"/>
    <w:basedOn w:val="DefaultParagraphFont"/>
    <w:rsid w:val="00CB630C"/>
  </w:style>
  <w:style w:type="paragraph" w:styleId="Quote">
    <w:name w:val="Quote"/>
    <w:basedOn w:val="Heading1"/>
    <w:link w:val="QuoteChar"/>
    <w:qFormat/>
    <w:rsid w:val="00CB630C"/>
    <w:rPr>
      <w:b w:val="0"/>
      <w:sz w:val="72"/>
      <w:szCs w:val="72"/>
      <w:lang w:val="en-NZ"/>
    </w:rPr>
  </w:style>
  <w:style w:type="character" w:customStyle="1" w:styleId="QuoteChar">
    <w:name w:val="Quote Char"/>
    <w:basedOn w:val="DefaultParagraphFont"/>
    <w:link w:val="Quote"/>
    <w:rsid w:val="00CB6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30C"/>
    <w:pPr>
      <w:pageBreakBefore/>
    </w:pPr>
  </w:style>
  <w:style w:type="paragraph" w:customStyle="1" w:styleId="Border">
    <w:name w:val="Border"/>
    <w:basedOn w:val="Normal"/>
    <w:qFormat/>
    <w:rsid w:val="00CB6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30C"/>
    <w:rPr>
      <w:b/>
      <w:bCs/>
      <w:i/>
      <w:iCs/>
      <w:color w:val="auto"/>
    </w:rPr>
  </w:style>
  <w:style w:type="paragraph" w:styleId="IntenseQuote">
    <w:name w:val="Intense Quote"/>
    <w:basedOn w:val="Normal"/>
    <w:next w:val="Normal"/>
    <w:link w:val="IntenseQuoteChar"/>
    <w:uiPriority w:val="30"/>
    <w:qFormat/>
    <w:rsid w:val="00CB6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30C"/>
    <w:rPr>
      <w:smallCaps/>
      <w:color w:val="auto"/>
      <w:u w:val="single"/>
    </w:rPr>
  </w:style>
  <w:style w:type="character" w:styleId="IntenseReference">
    <w:name w:val="Intense Reference"/>
    <w:basedOn w:val="DefaultParagraphFont"/>
    <w:uiPriority w:val="32"/>
    <w:qFormat/>
    <w:rsid w:val="00CB630C"/>
    <w:rPr>
      <w:b/>
      <w:bCs/>
      <w:smallCaps/>
      <w:color w:val="auto"/>
      <w:spacing w:val="5"/>
      <w:u w:val="single"/>
    </w:rPr>
  </w:style>
  <w:style w:type="paragraph" w:customStyle="1" w:styleId="2ColumnHeading">
    <w:name w:val="2Column Heading"/>
    <w:basedOn w:val="BodyText"/>
    <w:qFormat/>
    <w:rsid w:val="00CB630C"/>
    <w:pPr>
      <w:spacing w:after="60"/>
      <w:ind w:left="-2268"/>
    </w:pPr>
    <w:rPr>
      <w:b/>
    </w:rPr>
  </w:style>
  <w:style w:type="paragraph" w:customStyle="1" w:styleId="Heading1TOC">
    <w:name w:val="Heading1 TOC"/>
    <w:basedOn w:val="Normal"/>
    <w:qFormat/>
    <w:rsid w:val="00CB630C"/>
    <w:pPr>
      <w:spacing w:before="240" w:after="120"/>
    </w:pPr>
    <w:rPr>
      <w:rFonts w:ascii="Times New Roman" w:hAnsi="Times New Roman"/>
      <w:b/>
      <w:sz w:val="32"/>
    </w:rPr>
  </w:style>
  <w:style w:type="paragraph" w:customStyle="1" w:styleId="Heading2TOC">
    <w:name w:val="Heading2 TOC"/>
    <w:basedOn w:val="Normal"/>
    <w:qFormat/>
    <w:rsid w:val="00CB630C"/>
    <w:pPr>
      <w:spacing w:before="240" w:after="60"/>
    </w:pPr>
    <w:rPr>
      <w:rFonts w:ascii="Times New Roman" w:hAnsi="Times New Roman"/>
      <w:b/>
      <w:sz w:val="28"/>
    </w:rPr>
  </w:style>
  <w:style w:type="character" w:customStyle="1" w:styleId="Underline">
    <w:name w:val="Underline"/>
    <w:basedOn w:val="DefaultParagraphFont"/>
    <w:qFormat/>
    <w:rsid w:val="00CB630C"/>
    <w:rPr>
      <w:u w:val="single"/>
    </w:rPr>
  </w:style>
  <w:style w:type="character" w:customStyle="1" w:styleId="BoldandItalics">
    <w:name w:val="Bold and Italics"/>
    <w:qFormat/>
    <w:rsid w:val="00CB630C"/>
    <w:rPr>
      <w:b/>
      <w:i/>
      <w:u w:val="none"/>
    </w:rPr>
  </w:style>
  <w:style w:type="paragraph" w:styleId="BalloonText">
    <w:name w:val="Balloon Text"/>
    <w:basedOn w:val="Normal"/>
    <w:link w:val="BalloonTextChar"/>
    <w:rsid w:val="00CB630C"/>
    <w:rPr>
      <w:rFonts w:ascii="Tahoma" w:hAnsi="Tahoma" w:cs="Tahoma"/>
      <w:sz w:val="16"/>
      <w:szCs w:val="16"/>
    </w:rPr>
  </w:style>
  <w:style w:type="character" w:customStyle="1" w:styleId="BalloonTextChar">
    <w:name w:val="Balloon Text Char"/>
    <w:basedOn w:val="DefaultParagraphFont"/>
    <w:link w:val="BalloonText"/>
    <w:rsid w:val="00CB6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30C"/>
    <w:rPr>
      <w:b/>
      <w:color w:val="660033"/>
      <w:spacing w:val="0"/>
    </w:rPr>
  </w:style>
  <w:style w:type="paragraph" w:customStyle="1" w:styleId="Nameditemlist">
    <w:name w:val="Named item list"/>
    <w:basedOn w:val="BodyText"/>
    <w:qFormat/>
    <w:rsid w:val="00CB630C"/>
    <w:pPr>
      <w:tabs>
        <w:tab w:val="left" w:pos="2835"/>
      </w:tabs>
      <w:ind w:left="2835" w:hanging="2835"/>
    </w:pPr>
  </w:style>
  <w:style w:type="paragraph" w:customStyle="1" w:styleId="BodyTextnopadding">
    <w:name w:val="Body Text no padding"/>
    <w:basedOn w:val="BodyText"/>
    <w:qFormat/>
    <w:rsid w:val="00CB630C"/>
    <w:pPr>
      <w:spacing w:before="0" w:after="0"/>
    </w:pPr>
  </w:style>
  <w:style w:type="paragraph" w:customStyle="1" w:styleId="BodyTextBold">
    <w:name w:val="Body Text Bold"/>
    <w:basedOn w:val="BodyText"/>
    <w:qFormat/>
    <w:rsid w:val="00CB630C"/>
    <w:rPr>
      <w:b/>
    </w:rPr>
  </w:style>
  <w:style w:type="character" w:styleId="Hyperlink">
    <w:name w:val="Hyperlink"/>
    <w:basedOn w:val="DefaultParagraphFont"/>
    <w:uiPriority w:val="99"/>
    <w:unhideWhenUsed/>
    <w:rsid w:val="003A5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6438</Characters>
  <Application>Microsoft Office Word</Application>
  <DocSecurity>0</DocSecurity>
  <Lines>306</Lines>
  <Paragraphs>171</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MEM11003 Coordinate erection/dismantling of complex scaffolding/equipment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2023-02-03T07:20:00Z</dcterms:created>
  <dcterms:modified xsi:type="dcterms:W3CDTF">2023-02-03T07:20:00Z</dcterms:modified>
</cp:coreProperties>
</file>