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5FE" w:rsidP="00431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MEM11002 Erect/dismantle intermediate scaffolding and equipment</w:t>
      </w:r>
      <w:r>
        <w:fldChar w:fldCharType="end"/>
      </w:r>
    </w:p>
    <w:p w:rsidR="004315FE" w:rsidP="004315FE">
      <w:pPr>
        <w:pStyle w:val="Version"/>
        <w:sectPr w:rsidSect="006C0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587" w:rsidP="006C0587">
      <w:pPr>
        <w:pStyle w:val="SuperHeading"/>
      </w:pPr>
      <w:r w:rsidRPr="006C0587">
        <w:t>MEM11002 Erect/dismantle intermediate scaffolding and equipment</w:t>
      </w:r>
    </w:p>
    <w:p w:rsidR="00000000" w:rsidRPr="006C0587" w:rsidP="006C0587">
      <w:pPr>
        <w:pStyle w:val="Heading1"/>
      </w:pPr>
      <w:bookmarkStart w:id="1" w:name="O_950400"/>
      <w:bookmarkEnd w:id="1"/>
      <w:r w:rsidRPr="006C0587">
        <w:t>Modification History</w:t>
      </w:r>
    </w:p>
    <w:p w:rsidR="00000000" w:rsidRPr="006C0587" w:rsidP="004315FE">
      <w:pPr>
        <w:pStyle w:val="BodyText"/>
      </w:pPr>
      <w:r w:rsidRPr="006C0587">
        <w:t xml:space="preserve">Release 1. Supersedes and is equivalent to MEM11002C Erect/dismantle complex scaffolding and equipment </w:t>
      </w:r>
    </w:p>
    <w:p w:rsidR="00000000" w:rsidRPr="006C0587" w:rsidP="006C0587">
      <w:pPr>
        <w:pStyle w:val="Heading1"/>
      </w:pPr>
      <w:bookmarkStart w:id="2" w:name="O_950408"/>
      <w:bookmarkEnd w:id="2"/>
      <w:r w:rsidRPr="006C0587">
        <w:t>Application</w:t>
      </w:r>
    </w:p>
    <w:p w:rsidR="00000000" w:rsidRPr="006C0587" w:rsidP="004315FE">
      <w:pPr>
        <w:pStyle w:val="BodyText"/>
      </w:pPr>
      <w:r w:rsidRPr="006C0587">
        <w:t>This unit of com</w:t>
      </w:r>
      <w:r w:rsidRPr="006C0587">
        <w:t>petency defines the skills and knowledge required to prepare, erect, maintain, inspect/alter/repair and dismantle intermediate scaffolding/equipment used generally in maintenance and installation in workshops, factories, manufacturing plants and warehouses</w:t>
      </w:r>
      <w:r w:rsidRPr="006C0587">
        <w:t xml:space="preserve">. </w:t>
      </w:r>
    </w:p>
    <w:p w:rsidR="00000000" w:rsidRPr="006C0587" w:rsidP="004315FE">
      <w:pPr>
        <w:pStyle w:val="BodyText"/>
      </w:pPr>
      <w:r w:rsidRPr="006C0587">
        <w:t>Where interpretation of technical drawings is required unit MEM09002 Interpret technical drawing should also be selected.</w:t>
      </w:r>
    </w:p>
    <w:p w:rsidR="00000000" w:rsidRPr="006C0587" w:rsidP="004315FE">
      <w:pPr>
        <w:pStyle w:val="BodyText"/>
      </w:pPr>
      <w:r w:rsidRPr="006C0587">
        <w:t xml:space="preserve">Where the selection and use of engineering measurement is required unit MEM12023 Perform engineering measurements should also be </w:t>
      </w:r>
      <w:r w:rsidRPr="006C0587">
        <w:t>selected.</w:t>
      </w:r>
    </w:p>
    <w:p w:rsidR="00000000" w:rsidRPr="006C0587" w:rsidP="004315FE">
      <w:pPr>
        <w:pStyle w:val="BodyText"/>
      </w:pPr>
      <w:r w:rsidRPr="006C0587">
        <w:t>Where the selection and use of power tools/hand held operations is required unit MEM18002 Use power tools/hand held operations should also be selected.</w:t>
      </w:r>
    </w:p>
    <w:p w:rsidR="00000000" w:rsidRPr="006C0587" w:rsidP="004315FE">
      <w:pPr>
        <w:pStyle w:val="BodyText"/>
      </w:pPr>
      <w:r w:rsidRPr="006C0587">
        <w:t>Where scaffolding alteration or repair work is undertaken appropriate units should also be s</w:t>
      </w:r>
      <w:r w:rsidRPr="006C0587">
        <w:t>elected.</w:t>
      </w:r>
    </w:p>
    <w:p w:rsidR="00000000" w:rsidRPr="006C0587" w:rsidP="004315FE">
      <w:pPr>
        <w:pStyle w:val="BodyText"/>
      </w:pPr>
      <w:r w:rsidRPr="006C0587">
        <w:t>Depending on the equipment being used a high risk work licence may be required and users should check with the relevant authorities.</w:t>
      </w:r>
    </w:p>
    <w:p w:rsidR="00000000" w:rsidRPr="006C0587" w:rsidP="006C0587">
      <w:pPr>
        <w:pStyle w:val="BodyText"/>
      </w:pPr>
      <w:r w:rsidRPr="006C0587">
        <w:rPr>
          <w:rStyle w:val="SpecialBold"/>
        </w:rPr>
        <w:t>Band</w:t>
      </w:r>
      <w:r w:rsidRPr="006C0587">
        <w:t>:</w:t>
      </w:r>
      <w:r w:rsidRPr="006C0587">
        <w:tab/>
      </w:r>
      <w:r w:rsidRPr="006C0587">
        <w:rPr>
          <w:rStyle w:val="SpecialBold"/>
        </w:rPr>
        <w:t>A</w:t>
      </w:r>
    </w:p>
    <w:p w:rsidR="004315FE" w:rsidP="006C0587">
      <w:pPr>
        <w:pStyle w:val="BodyText"/>
      </w:pPr>
      <w:r w:rsidRPr="006C0587">
        <w:rPr>
          <w:rStyle w:val="SpecialBold"/>
        </w:rPr>
        <w:t>Unit Weight</w:t>
      </w:r>
      <w:r w:rsidRPr="006C0587">
        <w:t>:</w:t>
      </w:r>
      <w:r w:rsidRPr="006C0587">
        <w:tab/>
      </w:r>
      <w:r w:rsidRPr="006C0587">
        <w:rPr>
          <w:rStyle w:val="SpecialBold"/>
        </w:rPr>
        <w:t>4</w:t>
      </w:r>
    </w:p>
    <w:p w:rsidR="004315FE" w:rsidP="006C0587">
      <w:pPr>
        <w:pStyle w:val="BodyText"/>
      </w:pPr>
    </w:p>
    <w:p w:rsidR="00000000" w:rsidRPr="006C0587" w:rsidP="006C0587">
      <w:pPr>
        <w:pStyle w:val="Heading1"/>
      </w:pPr>
      <w:bookmarkStart w:id="3" w:name="O_950407"/>
      <w:bookmarkEnd w:id="3"/>
      <w:r w:rsidRPr="006C058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MEM11001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Erect/dismantle scaffolding and equipment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Undertake manual handling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Work safely and effectively in manufacturing and engineering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Organise and communicate information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BodyText"/>
            </w:pPr>
            <w:r w:rsidRPr="006C0587">
              <w:t>Use hand tools</w:t>
            </w:r>
          </w:p>
        </w:tc>
      </w:tr>
    </w:tbl>
    <w:p w:rsidR="00000000" w:rsidRPr="006C0587" w:rsidP="006C0587">
      <w:pPr>
        <w:pStyle w:val="BodyText"/>
      </w:pPr>
    </w:p>
    <w:p w:rsidR="00000000" w:rsidRPr="006C0587" w:rsidP="006C0587">
      <w:pPr>
        <w:pStyle w:val="AllowPageBreak"/>
      </w:pPr>
    </w:p>
    <w:p w:rsidR="00000000" w:rsidRPr="006C0587" w:rsidP="006C0587">
      <w:pPr>
        <w:pStyle w:val="Heading1"/>
      </w:pPr>
      <w:bookmarkStart w:id="4" w:name="O_950406"/>
      <w:bookmarkEnd w:id="4"/>
      <w:r w:rsidRPr="006C0587">
        <w:t>Competency Field</w:t>
      </w:r>
    </w:p>
    <w:p w:rsidR="00000000" w:rsidRPr="006C0587" w:rsidP="004315FE">
      <w:pPr>
        <w:pStyle w:val="BodyText"/>
      </w:pPr>
      <w:r w:rsidRPr="006C0587">
        <w:t>Materials handling</w:t>
      </w:r>
    </w:p>
    <w:p w:rsidR="00000000" w:rsidRPr="006C0587" w:rsidP="006C0587">
      <w:pPr>
        <w:pStyle w:val="Heading1"/>
      </w:pPr>
      <w:bookmarkStart w:id="5" w:name="O_950404"/>
      <w:bookmarkEnd w:id="5"/>
      <w:r w:rsidRPr="006C0587">
        <w:t>Elemen</w:t>
      </w:r>
      <w:r w:rsidRPr="006C0587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Performance criteria describe the performance needed to demonstrate achievement of the element.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BodyText"/>
            </w:pPr>
            <w:r w:rsidRPr="006C058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Follow standard operating procedures (SOPs)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Comply with work health and safety (WHS) requirements at all times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Use appropriate personal protective equipment (PPE) in accordance with SOPs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Interpret site plans, scaffolding/equipment designs and drawings to industry practices, as necessary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BodyText"/>
            </w:pPr>
            <w:r w:rsidRPr="006C058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Prepare to erect intermediate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Inspect work area to identi</w:t>
            </w:r>
            <w:r w:rsidRPr="006C0587">
              <w:t>fy hazards and implement appropriate prevention/control measures to avoid hazard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Prepare erection site to meet job requirements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Place necessary signage and barriers and third-party protection measures in appropriate position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BodyText"/>
            </w:pPr>
            <w:r w:rsidRPr="006C058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Erect intermediate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Select and inspect appropriate scaffolding/equipment components and label and reject damaged components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Erect scaffolding/equipment to plan and in accordance with acceptable safe work practices, Australian S</w:t>
            </w:r>
            <w:r w:rsidRPr="006C0587">
              <w:t>tandards, state or territory legislative requirements and equipment manufacturers</w:t>
            </w:r>
            <w:r>
              <w:t>’</w:t>
            </w:r>
            <w:r w:rsidRPr="006C0587">
              <w:t xml:space="preserve"> requirements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Check scaffolding/equipment for safety and operational requirements and identify faults in accordance with legislative requirements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BodyText"/>
            </w:pPr>
            <w:r w:rsidRPr="006C058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Inspect, alter and/or repair intermediate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Repair or send for repair rejected components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Confirm alterations/repairs in accordance with safe work practices, Australian Standards and equipment manufacturers</w:t>
            </w:r>
            <w:r>
              <w:t>’</w:t>
            </w:r>
            <w:r w:rsidRPr="006C0587">
              <w:t xml:space="preserve"> requirements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Inspect alterations/repairs for safety and operational requirements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Confirm and understand scope of alteration/repair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Inspect existing scaffold/equipment for suitability of alterations/repair requirements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Determine materials, equipment and tools required for alteration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Record/report work completion to appropriate authority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BodyText"/>
            </w:pPr>
            <w:r w:rsidRPr="006C058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Dismantle intermediate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Inspect scaffolding/equipment for damage, corrosion or wear and note for consideration in planning for dismantling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Dismantle scaffolding/equipment in accordance with site procedures, state and territory legislative requirements and critical structur</w:t>
            </w:r>
            <w:r w:rsidRPr="006C0587">
              <w:t>al and safety requirements</w:t>
            </w:r>
          </w:p>
        </w:tc>
      </w:tr>
      <w:tr w:rsidTr="006C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BodyText"/>
            </w:pPr>
            <w:r w:rsidRPr="006C0587">
              <w:t>Clear and clean site of all tools, excess material and debris and leave in a safe state</w:t>
            </w:r>
          </w:p>
        </w:tc>
      </w:tr>
    </w:tbl>
    <w:p w:rsidR="00000000" w:rsidRPr="006C0587" w:rsidP="006C0587">
      <w:pPr>
        <w:pStyle w:val="BodyText"/>
      </w:pPr>
    </w:p>
    <w:p w:rsidR="00000000" w:rsidRPr="006C0587" w:rsidP="006C0587">
      <w:pPr>
        <w:pStyle w:val="AllowPageBreak"/>
      </w:pPr>
    </w:p>
    <w:p w:rsidR="00000000" w:rsidRPr="006C0587" w:rsidP="006C0587">
      <w:pPr>
        <w:pStyle w:val="Heading1"/>
      </w:pPr>
      <w:bookmarkStart w:id="6" w:name="O_950403"/>
      <w:bookmarkEnd w:id="6"/>
      <w:r w:rsidRPr="006C0587">
        <w:t>Foundation Skills</w:t>
      </w:r>
    </w:p>
    <w:p w:rsidR="00000000" w:rsidRPr="006C0587" w:rsidP="004315FE">
      <w:pPr>
        <w:pStyle w:val="BodyText"/>
      </w:pPr>
      <w:r w:rsidRPr="006C058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C0587" w:rsidP="004315FE">
      <w:pPr>
        <w:pStyle w:val="BodyText"/>
      </w:pPr>
      <w:r w:rsidRPr="006C0587">
        <w:t xml:space="preserve">Foundation skills essential to performance are explicit in the performance criteria </w:t>
      </w:r>
      <w:r w:rsidRPr="006C0587">
        <w:t>of this unit of competency.</w:t>
      </w:r>
    </w:p>
    <w:p w:rsidR="00000000" w:rsidRPr="006C0587" w:rsidP="006C0587">
      <w:pPr>
        <w:pStyle w:val="Heading1"/>
      </w:pPr>
      <w:bookmarkStart w:id="7" w:name="O_950402"/>
      <w:bookmarkEnd w:id="7"/>
      <w:r w:rsidRPr="006C0587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6C0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t>This field allows for different work environments and conditions that may affect performance. Essential operating conditions that may be present (depending on the work situation, needs of the</w:t>
            </w:r>
            <w:r w:rsidRPr="006C0587">
              <w:t xml:space="preserve"> candidate, accessibility of the item, and local industry and regional contexts) are included.</w:t>
            </w:r>
          </w:p>
        </w:tc>
      </w:tr>
      <w:tr w:rsidTr="006C0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Scaffolding</w:t>
            </w:r>
            <w:r w:rsidRPr="006C0587">
              <w:t>/</w:t>
            </w:r>
            <w:r w:rsidRPr="006C0587">
              <w:rPr>
                <w:rStyle w:val="SpecialBold"/>
              </w:rPr>
              <w:t>equipment includes one (1) or more of the following:</w:t>
            </w:r>
            <w:r w:rsidRPr="006C0587">
              <w:t xml:space="preserve">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ListBullet"/>
            </w:pPr>
            <w:r w:rsidRPr="006C0587">
              <w:t>modular or prefabricated scaffolds</w:t>
            </w:r>
          </w:p>
          <w:p w:rsidR="00000000" w:rsidRPr="006C0587" w:rsidP="006C0587">
            <w:pPr>
              <w:pStyle w:val="ListBullet"/>
            </w:pPr>
            <w:r w:rsidRPr="006C0587">
              <w:t>cantilevered materials hoists with a maximum working load of 500 kg</w:t>
            </w:r>
          </w:p>
          <w:p w:rsidR="00000000" w:rsidRPr="006C0587" w:rsidP="006C0587">
            <w:pPr>
              <w:pStyle w:val="ListBullet"/>
            </w:pPr>
            <w:r w:rsidRPr="006C0587">
              <w:t>ropes and gin wheels</w:t>
            </w:r>
          </w:p>
          <w:p w:rsidR="00000000" w:rsidRPr="006C0587" w:rsidP="006C0587">
            <w:pPr>
              <w:pStyle w:val="ListBullet"/>
            </w:pPr>
            <w:r w:rsidRPr="006C0587">
              <w:t>safety nets and static lines, and</w:t>
            </w:r>
          </w:p>
          <w:p w:rsidR="00000000" w:rsidRPr="006C0587" w:rsidP="006C0587">
            <w:pPr>
              <w:pStyle w:val="ListBullet"/>
            </w:pPr>
            <w:r w:rsidRPr="006C0587">
              <w:t>bracket scaffolds (tank and formwork)</w:t>
            </w:r>
          </w:p>
          <w:p w:rsidR="00000000" w:rsidRPr="006C0587" w:rsidP="006C0587">
            <w:pPr>
              <w:pStyle w:val="ListBullet"/>
            </w:pPr>
            <w:r w:rsidRPr="006C0587">
              <w:t>cantilevered crane loading platforms</w:t>
            </w:r>
          </w:p>
          <w:p w:rsidR="00000000" w:rsidRPr="006C0587" w:rsidP="006C0587">
            <w:pPr>
              <w:pStyle w:val="ListBullet"/>
            </w:pPr>
            <w:r w:rsidRPr="006C0587">
              <w:t>cantilevered and spurred scaffolds</w:t>
            </w:r>
          </w:p>
          <w:p w:rsidR="00000000" w:rsidRPr="006C0587" w:rsidP="006C0587">
            <w:pPr>
              <w:pStyle w:val="ListBullet"/>
            </w:pPr>
            <w:r w:rsidRPr="006C0587">
              <w:t>barrow ramps and slopin</w:t>
            </w:r>
            <w:r w:rsidRPr="006C0587">
              <w:t>g platforms</w:t>
            </w:r>
          </w:p>
          <w:p w:rsidR="00000000" w:rsidRPr="006C0587" w:rsidP="006C0587">
            <w:pPr>
              <w:pStyle w:val="ListBullet"/>
            </w:pPr>
            <w:r w:rsidRPr="006C0587">
              <w:t>perimeter safety screens and shutters</w:t>
            </w:r>
          </w:p>
          <w:p w:rsidR="00000000" w:rsidRPr="006C0587" w:rsidP="006C0587">
            <w:pPr>
              <w:pStyle w:val="ListBullet"/>
            </w:pPr>
            <w:r w:rsidRPr="006C0587">
              <w:t>mast climbers</w:t>
            </w:r>
          </w:p>
          <w:p w:rsidR="00000000" w:rsidRPr="006C0587" w:rsidP="006C0587">
            <w:pPr>
              <w:pStyle w:val="ListBullet"/>
            </w:pPr>
            <w:r w:rsidRPr="006C0587">
              <w:t>tube and coupler scaffolds (including tube and coupler covered ways and gantries)</w:t>
            </w:r>
          </w:p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Maintaining scaffold includes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ListBullet"/>
            </w:pPr>
            <w:r w:rsidRPr="006C0587">
              <w:t>ensuring that the scaffolding remains in a safe condition according to manufacturers’ specifications and legislative requirements</w:t>
            </w:r>
          </w:p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 xml:space="preserve">Hazards include one (1) or more of the following: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ListBullet"/>
            </w:pPr>
            <w:r w:rsidRPr="006C0587">
              <w:t>chemicals</w:t>
            </w:r>
          </w:p>
          <w:p w:rsidR="00000000" w:rsidRPr="006C0587" w:rsidP="006C0587">
            <w:pPr>
              <w:pStyle w:val="ListBullet"/>
            </w:pPr>
            <w:r w:rsidRPr="006C0587">
              <w:t>dangerous or hazardous substances/materials</w:t>
            </w:r>
          </w:p>
          <w:p w:rsidR="00000000" w:rsidRPr="006C0587" w:rsidP="006C0587">
            <w:pPr>
              <w:pStyle w:val="ListBullet"/>
            </w:pPr>
            <w:r w:rsidRPr="006C0587">
              <w:t>movement of equipm</w:t>
            </w:r>
            <w:r w:rsidRPr="006C0587">
              <w:t>ent, goods and materials</w:t>
            </w:r>
          </w:p>
          <w:p w:rsidR="00000000" w:rsidRPr="006C0587" w:rsidP="006C0587">
            <w:pPr>
              <w:pStyle w:val="ListBullet"/>
            </w:pPr>
            <w:r w:rsidRPr="006C0587">
              <w:t>vehicular traffic</w:t>
            </w:r>
          </w:p>
          <w:p w:rsidR="00000000" w:rsidRPr="006C0587" w:rsidP="006C0587">
            <w:pPr>
              <w:pStyle w:val="ListBullet"/>
            </w:pPr>
            <w:r w:rsidRPr="006C0587">
              <w:t>uneven/unstable terrain</w:t>
            </w:r>
          </w:p>
          <w:p w:rsidR="00000000" w:rsidRPr="006C0587" w:rsidP="006C0587">
            <w:pPr>
              <w:pStyle w:val="ListBullet"/>
            </w:pPr>
            <w:r w:rsidRPr="006C0587">
              <w:t>overhead service lines</w:t>
            </w:r>
          </w:p>
          <w:p w:rsidR="00000000" w:rsidRPr="006C0587" w:rsidP="006C0587">
            <w:pPr>
              <w:pStyle w:val="ListBullet"/>
            </w:pPr>
            <w:r w:rsidRPr="006C0587">
              <w:t>trees</w:t>
            </w:r>
          </w:p>
          <w:p w:rsidR="00000000" w:rsidRPr="006C0587" w:rsidP="006C0587">
            <w:pPr>
              <w:pStyle w:val="ListBullet"/>
            </w:pPr>
            <w:r w:rsidRPr="006C0587">
              <w:t>underground services</w:t>
            </w:r>
          </w:p>
          <w:p w:rsidR="00000000" w:rsidRPr="006C0587" w:rsidP="006C0587">
            <w:pPr>
              <w:pStyle w:val="ListBullet"/>
            </w:pPr>
            <w:r w:rsidRPr="006C0587">
              <w:t>obstructions</w:t>
            </w:r>
          </w:p>
          <w:p w:rsidR="00000000" w:rsidRPr="006C0587" w:rsidP="006C0587">
            <w:pPr>
              <w:pStyle w:val="ListBullet"/>
            </w:pPr>
            <w:r w:rsidRPr="006C0587">
              <w:t>structures</w:t>
            </w:r>
          </w:p>
          <w:p w:rsidR="00000000" w:rsidRPr="006C0587" w:rsidP="006C0587">
            <w:pPr>
              <w:pStyle w:val="ListBullet"/>
            </w:pPr>
            <w:r w:rsidRPr="006C0587">
              <w:t>surrounding buildings</w:t>
            </w:r>
          </w:p>
          <w:p w:rsidR="00000000" w:rsidRPr="006C0587" w:rsidP="006C0587">
            <w:pPr>
              <w:pStyle w:val="ListBullet"/>
            </w:pPr>
            <w:r w:rsidRPr="006C0587">
              <w:t>facilities</w:t>
            </w:r>
          </w:p>
          <w:p w:rsidR="00000000" w:rsidRPr="006C0587" w:rsidP="006C0587">
            <w:pPr>
              <w:pStyle w:val="ListBullet"/>
            </w:pPr>
            <w:r w:rsidRPr="006C0587">
              <w:t>bridges/walkways</w:t>
            </w:r>
          </w:p>
          <w:p w:rsidR="00000000" w:rsidRPr="006C0587" w:rsidP="006C0587">
            <w:pPr>
              <w:pStyle w:val="ListBullet"/>
            </w:pPr>
            <w:r w:rsidRPr="006C0587">
              <w:t>lifting equipment</w:t>
            </w:r>
          </w:p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Prescribed procedures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ListBullet"/>
            </w:pPr>
            <w:r w:rsidRPr="006C0587">
              <w:t>clarification of instructions either written or from authorised personnel</w:t>
            </w:r>
          </w:p>
          <w:p w:rsidR="00000000" w:rsidRPr="006C0587" w:rsidP="006C0587">
            <w:pPr>
              <w:pStyle w:val="ListBullet"/>
            </w:pPr>
            <w:r w:rsidRPr="006C0587">
              <w:t>site safety policy and procedures</w:t>
            </w:r>
          </w:p>
          <w:p w:rsidR="00000000" w:rsidRPr="006C0587" w:rsidP="006C0587">
            <w:pPr>
              <w:pStyle w:val="ListBullet"/>
            </w:pPr>
            <w:r w:rsidRPr="006C0587">
              <w:t>SOPs</w:t>
            </w:r>
          </w:p>
          <w:p w:rsidR="00000000" w:rsidRPr="006C0587" w:rsidP="006C0587">
            <w:pPr>
              <w:pStyle w:val="ListBullet"/>
            </w:pPr>
            <w:r w:rsidRPr="006C0587">
              <w:t>correct use of equipment</w:t>
            </w:r>
          </w:p>
          <w:p w:rsidR="00000000" w:rsidRPr="006C0587" w:rsidP="006C0587">
            <w:pPr>
              <w:pStyle w:val="ListBullet"/>
            </w:pPr>
            <w:r w:rsidRPr="006C0587">
              <w:t>industry standards and requirements</w:t>
            </w:r>
          </w:p>
          <w:p w:rsidR="00000000" w:rsidRPr="006C0587" w:rsidP="006C0587">
            <w:pPr>
              <w:pStyle w:val="ListBullet"/>
            </w:pPr>
            <w:r w:rsidRPr="006C0587">
              <w:t>manufacturers</w:t>
            </w:r>
            <w:r>
              <w:t>’</w:t>
            </w:r>
            <w:r w:rsidRPr="006C0587">
              <w:t xml:space="preserve"> specifications</w:t>
            </w:r>
          </w:p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Signage</w:t>
            </w:r>
            <w:r w:rsidRPr="006C0587">
              <w:t xml:space="preserve">, </w:t>
            </w:r>
            <w:r w:rsidRPr="006C0587">
              <w:rPr>
                <w:rStyle w:val="SpecialBold"/>
              </w:rPr>
              <w:t>barriers and third-party protection measures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ListBullet"/>
            </w:pPr>
            <w:r w:rsidRPr="006C0587">
              <w:t>physical barriers (para webbing, bollards, timber or metal)</w:t>
            </w:r>
          </w:p>
          <w:p w:rsidR="00000000" w:rsidRPr="006C0587" w:rsidP="006C0587">
            <w:pPr>
              <w:pStyle w:val="ListBullet"/>
            </w:pPr>
            <w:r w:rsidRPr="006C0587">
              <w:t>warning/direction signs</w:t>
            </w:r>
          </w:p>
          <w:p w:rsidR="00000000" w:rsidRPr="006C0587" w:rsidP="006C0587">
            <w:pPr>
              <w:pStyle w:val="ListBullet"/>
            </w:pPr>
            <w:r w:rsidRPr="006C0587">
              <w:t>personnel to restrict unauthorised access (</w:t>
            </w:r>
            <w:r w:rsidRPr="006C0587">
              <w:t>spotters)</w:t>
            </w:r>
          </w:p>
          <w:p w:rsidR="00000000" w:rsidRPr="006C0587" w:rsidP="006C0587">
            <w:pPr>
              <w:pStyle w:val="ListBullet"/>
            </w:pPr>
            <w:r w:rsidRPr="006C0587">
              <w:t>permits to work</w:t>
            </w:r>
          </w:p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Safe work practices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ListBullet"/>
            </w:pPr>
            <w:r w:rsidRPr="006C0587">
              <w:t>hazard identification</w:t>
            </w:r>
          </w:p>
          <w:p w:rsidR="00000000" w:rsidRPr="006C0587" w:rsidP="006C0587">
            <w:pPr>
              <w:pStyle w:val="ListBullet"/>
            </w:pPr>
            <w:r w:rsidRPr="006C0587">
              <w:t>risk assessment</w:t>
            </w:r>
          </w:p>
          <w:p w:rsidR="00000000" w:rsidRPr="006C0587" w:rsidP="006C0587">
            <w:pPr>
              <w:pStyle w:val="ListBullet"/>
            </w:pPr>
            <w:r w:rsidRPr="006C0587">
              <w:t>SOPs</w:t>
            </w:r>
          </w:p>
          <w:p w:rsidR="00000000" w:rsidRPr="006C0587" w:rsidP="006C0587">
            <w:pPr>
              <w:pStyle w:val="ListBullet"/>
            </w:pPr>
            <w:r w:rsidRPr="006C0587">
              <w:t xml:space="preserve">housekeeping </w:t>
            </w:r>
          </w:p>
          <w:p w:rsidR="00000000" w:rsidRPr="006C0587" w:rsidP="006C0587">
            <w:pPr>
              <w:pStyle w:val="ListBullet"/>
            </w:pPr>
            <w:r w:rsidRPr="006C0587">
              <w:t>PPE</w:t>
            </w:r>
          </w:p>
          <w:p w:rsidR="00000000" w:rsidP="006C0587">
            <w:pPr>
              <w:pStyle w:val="BodyText"/>
              <w:rPr>
                <w:lang w:val="en-NZ"/>
              </w:rPr>
            </w:pPr>
          </w:p>
        </w:tc>
      </w:tr>
      <w:tr w:rsidTr="006C05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587">
            <w:pPr>
              <w:pStyle w:val="BodyText"/>
              <w:rPr>
                <w:lang w:val="en-NZ"/>
              </w:rPr>
            </w:pPr>
            <w:r w:rsidRPr="006C0587">
              <w:rPr>
                <w:rStyle w:val="SpecialBold"/>
              </w:rPr>
              <w:t>State or territory legislative requirements include the following:</w:t>
            </w:r>
            <w:r w:rsidRPr="006C0587">
              <w:t xml:space="preserve">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587" w:rsidP="006C0587">
            <w:pPr>
              <w:pStyle w:val="ListBullet"/>
            </w:pPr>
            <w:r w:rsidRPr="006C0587">
              <w:t>appropriate WHS and Scaffolding Acts and regulations</w:t>
            </w:r>
          </w:p>
          <w:p w:rsidR="00000000" w:rsidRPr="006C0587" w:rsidP="006C0587">
            <w:pPr>
              <w:pStyle w:val="ListBullet"/>
            </w:pPr>
            <w:r w:rsidRPr="006C0587">
              <w:t>Australian standards and codes of practice, including:</w:t>
            </w:r>
          </w:p>
          <w:p w:rsidR="00000000" w:rsidRPr="006C0587" w:rsidP="006C0587">
            <w:pPr>
              <w:pStyle w:val="ListBullet2"/>
            </w:pPr>
            <w:r w:rsidRPr="006C0587">
              <w:t>NOHSC:1006, National Occupational Health and Safety Certification Standards for Users and Operators of Industrial Equipment</w:t>
            </w:r>
          </w:p>
          <w:p w:rsidR="00000000" w:rsidRPr="006C0587" w:rsidP="006C0587">
            <w:pPr>
              <w:pStyle w:val="BodyText"/>
            </w:pPr>
          </w:p>
        </w:tc>
      </w:tr>
    </w:tbl>
    <w:p w:rsidR="00000000" w:rsidRPr="006C0587" w:rsidP="006C0587">
      <w:pPr>
        <w:pStyle w:val="BodyText"/>
      </w:pPr>
    </w:p>
    <w:p w:rsidR="00000000" w:rsidRPr="006C0587" w:rsidP="006C0587">
      <w:pPr>
        <w:pStyle w:val="AllowPageBreak"/>
      </w:pPr>
    </w:p>
    <w:p w:rsidR="00000000" w:rsidRPr="006C0587" w:rsidP="006C0587">
      <w:pPr>
        <w:pStyle w:val="Heading1"/>
      </w:pPr>
      <w:bookmarkStart w:id="8" w:name="O_950401"/>
      <w:bookmarkEnd w:id="8"/>
      <w:r w:rsidRPr="006C0587">
        <w:t>Unit Mapping Information</w:t>
      </w:r>
    </w:p>
    <w:p w:rsidR="00000000" w:rsidRPr="006C0587" w:rsidP="004315FE">
      <w:pPr>
        <w:pStyle w:val="BodyText"/>
      </w:pPr>
      <w:r w:rsidRPr="006C0587">
        <w:t xml:space="preserve">Release 1. Supersedes and is equivalent to MEM11002C Erect/dismantle complex scaffolding and equipment </w:t>
      </w:r>
    </w:p>
    <w:p w:rsidR="00000000" w:rsidRPr="006C0587" w:rsidP="006C0587">
      <w:pPr>
        <w:pStyle w:val="Heading1"/>
      </w:pPr>
      <w:bookmarkStart w:id="9" w:name="O_950394"/>
      <w:bookmarkEnd w:id="9"/>
      <w:r w:rsidRPr="006C0587">
        <w:t>Links</w:t>
      </w:r>
    </w:p>
    <w:p w:rsidR="00000000" w:rsidRPr="006C0587" w:rsidP="004315FE">
      <w:pPr>
        <w:pStyle w:val="BodyText"/>
      </w:pPr>
      <w:r w:rsidRPr="006C05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018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0587" w:rsidP="004315FE">
      <w:pPr>
        <w:pStyle w:val="BodyText"/>
        <w:sectPr w:rsidSect="006C05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0587" w:rsidP="006C0587">
      <w:pPr>
        <w:pStyle w:val="SuperHeading"/>
      </w:pPr>
      <w:r w:rsidRPr="006C0587">
        <w:t>Assessment Requirements for MEM11002 Erect/dismantle intermedia</w:t>
      </w:r>
      <w:r w:rsidRPr="006C0587">
        <w:t>te scaffolding and equipment</w:t>
      </w:r>
    </w:p>
    <w:p w:rsidR="00000000" w:rsidRPr="006C0587" w:rsidP="006C0587">
      <w:pPr>
        <w:pStyle w:val="Heading1"/>
      </w:pPr>
      <w:bookmarkStart w:id="10" w:name="O_950396"/>
      <w:bookmarkEnd w:id="10"/>
      <w:r w:rsidRPr="006C0587">
        <w:t>Modification History</w:t>
      </w:r>
    </w:p>
    <w:p w:rsidR="00000000" w:rsidRPr="006C0587" w:rsidP="004315FE">
      <w:pPr>
        <w:pStyle w:val="BodyText"/>
      </w:pPr>
      <w:r w:rsidRPr="006C0587">
        <w:t xml:space="preserve">Release 1. Supersedes and is equivalent to MEM11002C Erect/dismantle complex scaffolding and equipment </w:t>
      </w:r>
    </w:p>
    <w:p w:rsidR="00000000" w:rsidRPr="006C0587" w:rsidP="006C0587">
      <w:pPr>
        <w:pStyle w:val="Heading1"/>
      </w:pPr>
      <w:bookmarkStart w:id="11" w:name="O_950399"/>
      <w:bookmarkEnd w:id="11"/>
      <w:r w:rsidRPr="006C0587">
        <w:t>Performance Evidence</w:t>
      </w:r>
    </w:p>
    <w:p w:rsidR="00000000" w:rsidRPr="006C0587" w:rsidP="004315FE">
      <w:pPr>
        <w:pStyle w:val="BodyText"/>
      </w:pPr>
      <w:r w:rsidRPr="006C0587">
        <w:t>Evidence required to demonstrate competence in this unit must be relevant to and satisfy the requirements of the elements and performance criteria on at least two (2) occasions and include:</w:t>
      </w:r>
    </w:p>
    <w:p w:rsidR="00000000" w:rsidRPr="006C0587" w:rsidP="006C0587">
      <w:pPr>
        <w:pStyle w:val="ListBullet"/>
      </w:pPr>
      <w:r w:rsidRPr="006C0587">
        <w:t>following work instructions, standard operating procedures (SOPs)</w:t>
      </w:r>
      <w:r w:rsidRPr="006C0587">
        <w:t xml:space="preserve"> and safe work practices </w:t>
      </w:r>
    </w:p>
    <w:p w:rsidR="00000000" w:rsidRPr="006C0587" w:rsidP="006C0587">
      <w:pPr>
        <w:pStyle w:val="ListBullet"/>
      </w:pPr>
      <w:r w:rsidRPr="006C0587">
        <w:t>identifying and interpreting specifications, legislative requirements for erecting intermediate scaffolding</w:t>
      </w:r>
    </w:p>
    <w:p w:rsidR="00000000" w:rsidRPr="006C0587" w:rsidP="006C0587">
      <w:pPr>
        <w:pStyle w:val="ListBullet"/>
      </w:pPr>
      <w:r w:rsidRPr="006C0587">
        <w:t>preparing the site for erection of intermediate scaffolding</w:t>
      </w:r>
    </w:p>
    <w:p w:rsidR="00000000" w:rsidRPr="006C0587" w:rsidP="006C0587">
      <w:pPr>
        <w:pStyle w:val="ListBullet"/>
      </w:pPr>
      <w:r w:rsidRPr="006C0587">
        <w:t>assessing the risks associated with intermediate scaffolding a</w:t>
      </w:r>
      <w:r w:rsidRPr="006C0587">
        <w:t>nd equipment and determining the most appropriate technique</w:t>
      </w:r>
    </w:p>
    <w:p w:rsidR="00000000" w:rsidRPr="006C0587" w:rsidP="006C0587">
      <w:pPr>
        <w:pStyle w:val="ListBullet"/>
      </w:pPr>
      <w:r w:rsidRPr="006C0587">
        <w:t>using relevant hand tools and manual handling techniques ensuring the intermediate scaffolding is level</w:t>
      </w:r>
    </w:p>
    <w:p w:rsidR="00000000" w:rsidRPr="006C0587" w:rsidP="006C0587">
      <w:pPr>
        <w:pStyle w:val="ListBullet"/>
      </w:pPr>
      <w:r w:rsidRPr="006C0587">
        <w:t>determining the condition of scaffolding and determining the need for repair or alteration</w:t>
      </w:r>
    </w:p>
    <w:p w:rsidR="00000000" w:rsidRPr="006C0587" w:rsidP="006C0587">
      <w:pPr>
        <w:pStyle w:val="ListBullet"/>
      </w:pPr>
      <w:r w:rsidRPr="006C0587">
        <w:t>u</w:t>
      </w:r>
      <w:r w:rsidRPr="006C0587">
        <w:t>ndertaking alteration or repair work on scaffolding or sending the scaffolding for repair or alteration.</w:t>
      </w:r>
    </w:p>
    <w:p w:rsidR="00000000" w:rsidRPr="006C0587" w:rsidP="006C0587">
      <w:pPr>
        <w:pStyle w:val="ListBullet"/>
      </w:pPr>
      <w:r w:rsidRPr="006C0587">
        <w:t>undertaking site clean-up and remediation</w:t>
      </w:r>
    </w:p>
    <w:p w:rsidR="00000000" w:rsidRPr="006C0587" w:rsidP="006C0587">
      <w:pPr>
        <w:pStyle w:val="ListBullet"/>
      </w:pPr>
      <w:r w:rsidRPr="006C0587">
        <w:t>working safely and confidently at heights.</w:t>
      </w:r>
    </w:p>
    <w:p w:rsidR="00000000" w:rsidRPr="006C0587" w:rsidP="006C0587">
      <w:pPr>
        <w:pStyle w:val="AllowPageBreak"/>
      </w:pPr>
    </w:p>
    <w:p w:rsidR="00000000" w:rsidRPr="006C0587" w:rsidP="006C0587">
      <w:pPr>
        <w:pStyle w:val="Heading1"/>
      </w:pPr>
      <w:bookmarkStart w:id="12" w:name="O_950398"/>
      <w:bookmarkEnd w:id="12"/>
      <w:r w:rsidRPr="006C0587">
        <w:t>Knowledge Evidence</w:t>
      </w:r>
    </w:p>
    <w:p w:rsidR="00000000" w:rsidRPr="006C0587" w:rsidP="004315FE">
      <w:pPr>
        <w:pStyle w:val="BodyText"/>
      </w:pPr>
      <w:r w:rsidRPr="006C0587">
        <w:t>Evidence required to demonstra</w:t>
      </w:r>
      <w:r w:rsidRPr="006C0587">
        <w:t>te the required knowledge for this unit must be relevant to and satisfy the requirements of the elements and performance criteria and include knowledge of:</w:t>
      </w:r>
    </w:p>
    <w:p w:rsidR="00000000" w:rsidRPr="006C0587" w:rsidP="006C0587">
      <w:pPr>
        <w:pStyle w:val="ListBullet"/>
      </w:pPr>
      <w:r w:rsidRPr="006C0587">
        <w:t>safe work practices and procedures and use of personal protective equipment (PPE)</w:t>
      </w:r>
    </w:p>
    <w:p w:rsidR="00000000" w:rsidRPr="006C0587" w:rsidP="006C0587">
      <w:pPr>
        <w:pStyle w:val="ListBullet"/>
      </w:pPr>
      <w:r w:rsidRPr="006C0587">
        <w:t>erection and dism</w:t>
      </w:r>
      <w:r w:rsidRPr="006C0587">
        <w:t>antling procedures as set out in relevant Australian Standards</w:t>
      </w:r>
    </w:p>
    <w:p w:rsidR="00000000" w:rsidRPr="006C0587" w:rsidP="006C0587">
      <w:pPr>
        <w:pStyle w:val="ListBullet"/>
      </w:pPr>
      <w:r w:rsidRPr="006C0587">
        <w:t>codes of practice, for example, the Scaffolder</w:t>
      </w:r>
      <w:r>
        <w:t>’</w:t>
      </w:r>
      <w:r w:rsidRPr="006C0587">
        <w:t>s Guide, and relevant acts and regulations</w:t>
      </w:r>
    </w:p>
    <w:p w:rsidR="00000000" w:rsidRPr="006C0587" w:rsidP="006C0587">
      <w:pPr>
        <w:pStyle w:val="ListBullet"/>
      </w:pPr>
      <w:r w:rsidRPr="006C0587">
        <w:t>site-specific requirements</w:t>
      </w:r>
    </w:p>
    <w:p w:rsidR="00000000" w:rsidRPr="006C0587" w:rsidP="006C0587">
      <w:pPr>
        <w:pStyle w:val="ListBullet"/>
      </w:pPr>
      <w:r w:rsidRPr="006C0587">
        <w:t>sequence of operations in erecting intermediate scaffolding</w:t>
      </w:r>
    </w:p>
    <w:p w:rsidR="00000000" w:rsidRPr="006C0587" w:rsidP="006C0587">
      <w:pPr>
        <w:pStyle w:val="ListBullet"/>
      </w:pPr>
      <w:r w:rsidRPr="006C0587">
        <w:t>types of intermediate scaffolding systems and deck loadings</w:t>
      </w:r>
    </w:p>
    <w:p w:rsidR="00000000" w:rsidRPr="006C0587" w:rsidP="006C0587">
      <w:pPr>
        <w:pStyle w:val="ListBullet"/>
      </w:pPr>
      <w:r w:rsidRPr="006C0587">
        <w:t>scaffolding techniques and equipment and its limitations</w:t>
      </w:r>
    </w:p>
    <w:p w:rsidR="00000000" w:rsidRPr="006C0587" w:rsidP="006C0587">
      <w:pPr>
        <w:pStyle w:val="ListBullet"/>
      </w:pPr>
      <w:r w:rsidRPr="006C0587">
        <w:t>materials handling, storage and environmentally friendly waste management</w:t>
      </w:r>
    </w:p>
    <w:p w:rsidR="00000000" w:rsidRPr="006C0587" w:rsidP="006C0587">
      <w:pPr>
        <w:pStyle w:val="ListBullet"/>
      </w:pPr>
      <w:r w:rsidRPr="006C0587">
        <w:t>scaffolding condition and repair requirements</w:t>
      </w:r>
    </w:p>
    <w:p w:rsidR="00000000" w:rsidRPr="006C0587" w:rsidP="006C0587">
      <w:pPr>
        <w:pStyle w:val="ListBullet"/>
      </w:pPr>
      <w:r w:rsidRPr="006C0587">
        <w:t>hazards and control</w:t>
      </w:r>
      <w:r w:rsidRPr="006C0587">
        <w:t xml:space="preserve"> measures; electrical, stability, mobile plant issues/requirements; falls protection measures; minimum gap requirements; and safe access and egress.</w:t>
      </w:r>
    </w:p>
    <w:p w:rsidR="00000000" w:rsidRPr="006C0587" w:rsidP="006C0587">
      <w:pPr>
        <w:pStyle w:val="AllowPageBreak"/>
      </w:pPr>
    </w:p>
    <w:p w:rsidR="00000000" w:rsidRPr="006C0587" w:rsidP="006C0587">
      <w:pPr>
        <w:pStyle w:val="Heading1"/>
      </w:pPr>
      <w:bookmarkStart w:id="13" w:name="O_950397"/>
      <w:bookmarkEnd w:id="13"/>
      <w:r w:rsidRPr="006C0587">
        <w:t>Assessment Conditions</w:t>
      </w:r>
    </w:p>
    <w:p w:rsidR="00000000" w:rsidRPr="006C0587" w:rsidP="006C0587">
      <w:pPr>
        <w:pStyle w:val="ListBullet"/>
      </w:pPr>
      <w:r w:rsidRPr="006C0587">
        <w:t>Assessors must:</w:t>
      </w:r>
    </w:p>
    <w:p w:rsidR="00000000" w:rsidRPr="006C0587" w:rsidP="006C0587">
      <w:pPr>
        <w:pStyle w:val="ListBullet2"/>
      </w:pPr>
      <w:r w:rsidRPr="006C0587">
        <w:t>have vocational competency in erecting/dismantling</w:t>
      </w:r>
      <w:r w:rsidRPr="006C0587">
        <w:t xml:space="preserve"> intermediate scaffolding and equipment at least to the level being assessed with relevant industry knowledge and experience</w:t>
      </w:r>
    </w:p>
    <w:p w:rsidR="00000000" w:rsidRPr="006C0587" w:rsidP="006C0587">
      <w:pPr>
        <w:pStyle w:val="ListBullet2"/>
      </w:pPr>
      <w:r w:rsidRPr="006C0587">
        <w:t xml:space="preserve">satisfy the assessor requirements in the </w:t>
      </w:r>
      <w:r w:rsidRPr="006C0587">
        <w:rPr>
          <w:rStyle w:val="Emphasis"/>
        </w:rPr>
        <w:t xml:space="preserve">Standards for Registered Training Organisations 2015 </w:t>
      </w:r>
      <w:r w:rsidRPr="006C0587">
        <w:t>or its replacement and comply with th</w:t>
      </w:r>
      <w:r w:rsidRPr="006C0587">
        <w:t xml:space="preserve">e </w:t>
      </w:r>
      <w:r w:rsidRPr="006C0587">
        <w:rPr>
          <w:rStyle w:val="Emphasis"/>
        </w:rPr>
        <w:t xml:space="preserve">National Vocational Education and Training Regulator Act 2011, </w:t>
      </w:r>
      <w:r w:rsidRPr="006C0587">
        <w:t xml:space="preserve">its </w:t>
      </w:r>
      <w:r w:rsidRPr="006C0587">
        <w:t>replacement</w:t>
      </w:r>
      <w:r w:rsidRPr="006C0587">
        <w:rPr>
          <w:rStyle w:val="Emphasis"/>
        </w:rPr>
        <w:t xml:space="preserve"> </w:t>
      </w:r>
      <w:r w:rsidRPr="006C0587">
        <w:t>or equivalent legislation covering VET regulation in a non-referring state/territory as the case requires</w:t>
      </w:r>
    </w:p>
    <w:p w:rsidR="00000000" w:rsidRPr="006C0587" w:rsidP="006C0587">
      <w:pPr>
        <w:pStyle w:val="ListBullet"/>
      </w:pPr>
      <w:r w:rsidRPr="006C0587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6C0587">
        <w:t xml:space="preserve">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6C0587" w:rsidP="006C0587">
      <w:pPr>
        <w:pStyle w:val="ListBullet"/>
      </w:pPr>
      <w:r w:rsidRPr="006C0587">
        <w:t>Conditions for assessment must incl</w:t>
      </w:r>
      <w:r w:rsidRPr="006C0587">
        <w:t>ude access to all tools, equipment, materials and documentation required, including relevant workplace procedures, product and manufacturing specifications</w:t>
      </w:r>
    </w:p>
    <w:p w:rsidR="00000000" w:rsidRPr="006C0587" w:rsidP="006C0587">
      <w:pPr>
        <w:pStyle w:val="ListBullet"/>
      </w:pPr>
      <w:r w:rsidRPr="006C0587">
        <w:t>Assessment processes and techniques must be appropriate to the language, literacy and numeracy requi</w:t>
      </w:r>
      <w:r w:rsidRPr="006C0587">
        <w:t>rements of the work being performed and the needs of the candidate.</w:t>
      </w:r>
    </w:p>
    <w:p w:rsidR="00000000" w:rsidRPr="006C0587" w:rsidP="006C0587">
      <w:pPr>
        <w:pStyle w:val="AllowPageBreak"/>
      </w:pPr>
    </w:p>
    <w:p w:rsidR="00000000" w:rsidRPr="006C0587" w:rsidP="006C0587">
      <w:pPr>
        <w:pStyle w:val="Heading1"/>
      </w:pPr>
      <w:bookmarkStart w:id="14" w:name="O_950395"/>
      <w:bookmarkEnd w:id="14"/>
      <w:r w:rsidRPr="006C0587">
        <w:t>Links</w:t>
      </w:r>
    </w:p>
    <w:p w:rsidR="00000000" w:rsidRPr="006C0587" w:rsidP="004315FE">
      <w:pPr>
        <w:pStyle w:val="BodyText"/>
      </w:pPr>
      <w:r w:rsidRPr="006C05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018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0587" w:rsidP="006C0587"/>
    <w:sectPr w:rsidSect="006C05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7" w:rsidRPr="004315FE" w:rsidP="00431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FE" w:rsidP="006C0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15FE" w:rsidP="006C0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315FE" w:rsidP="006C05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7" w:rsidP="006C0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5FE">
      <w:t>Approved</w:t>
    </w:r>
    <w:r w:rsidR="004315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5F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5FE">
      <w:rPr>
        <w:noProof/>
      </w:rPr>
      <w:t>6</w:t>
    </w:r>
    <w:r>
      <w:rPr>
        <w:noProof/>
      </w:rPr>
      <w:fldChar w:fldCharType="end"/>
    </w:r>
  </w:p>
  <w:p w:rsidR="006C0587" w:rsidP="006C0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5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5FE">
      <w:t>Manufacturing Industry Skills Alliance</w:t>
    </w:r>
    <w:r w:rsidR="004315FE">
      <w:fldChar w:fldCharType="end"/>
    </w:r>
  </w:p>
  <w:p w:rsidR="006C0587" w:rsidP="006C0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587" w:rsidRPr="004315FE" w:rsidP="00431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FE" w:rsidRPr="002D2AF8" w:rsidP="006C0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MEM11002 Erect/dismantle intermediate scaffolding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5FE" w:rsidP="006C05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7" w:rsidRPr="002D2AF8" w:rsidP="006C0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5FE">
      <w:t>MEM11002 Erect/dismantle intermediate scaffolding and equipment</w:t>
    </w:r>
    <w:r w:rsidR="004315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5FE">
      <w:rPr>
        <w:noProof/>
      </w:rPr>
      <w:t>2 March 2025</w:t>
    </w:r>
    <w:r>
      <w:fldChar w:fldCharType="end"/>
    </w:r>
  </w:p>
  <w:p w:rsidR="006C0587" w:rsidP="006C0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C01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1EB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027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587"/>
  </w:style>
  <w:style w:type="character" w:customStyle="1" w:styleId="Heading1Char">
    <w:name w:val="Heading 1 Char"/>
    <w:basedOn w:val="DefaultParagraphFont"/>
    <w:link w:val="Heading1"/>
    <w:rsid w:val="006C0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5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5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587"/>
    <w:rPr>
      <w:b/>
      <w:spacing w:val="0"/>
    </w:rPr>
  </w:style>
  <w:style w:type="paragraph" w:styleId="ListBullet2">
    <w:name w:val="List Bullet 2"/>
    <w:basedOn w:val="List2"/>
    <w:rsid w:val="006C05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0587"/>
    <w:rPr>
      <w:i/>
    </w:rPr>
  </w:style>
  <w:style w:type="paragraph" w:customStyle="1" w:styleId="SuperHeading">
    <w:name w:val="SuperHeading"/>
    <w:basedOn w:val="Normal"/>
    <w:rsid w:val="006C0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5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5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5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0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587"/>
  </w:style>
  <w:style w:type="paragraph" w:styleId="TableofFigures">
    <w:name w:val="table of figures"/>
    <w:basedOn w:val="Normal"/>
    <w:next w:val="Normal"/>
    <w:semiHidden/>
    <w:rsid w:val="006C0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5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587"/>
    <w:rPr>
      <w:rFonts w:ascii="Wingdings" w:hAnsi="Wingdings"/>
    </w:rPr>
  </w:style>
  <w:style w:type="paragraph" w:customStyle="1" w:styleId="TableHeading">
    <w:name w:val="Table Heading"/>
    <w:basedOn w:val="HeadingBase"/>
    <w:rsid w:val="006C05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587"/>
    <w:rPr>
      <w:color w:val="0033CC"/>
      <w:u w:val="none"/>
    </w:rPr>
  </w:style>
  <w:style w:type="paragraph" w:customStyle="1" w:styleId="BodyTextRight">
    <w:name w:val="Body Text Right"/>
    <w:basedOn w:val="BodyText"/>
    <w:rsid w:val="006C0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5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587"/>
    <w:rPr>
      <w:sz w:val="32"/>
    </w:rPr>
  </w:style>
  <w:style w:type="paragraph" w:customStyle="1" w:styleId="HeadingProcedure">
    <w:name w:val="Heading Procedure"/>
    <w:basedOn w:val="HeadingBase"/>
    <w:next w:val="Normal"/>
    <w:rsid w:val="006C0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587"/>
    <w:pPr>
      <w:spacing w:before="60" w:after="60"/>
    </w:pPr>
  </w:style>
  <w:style w:type="paragraph" w:styleId="ListContinue">
    <w:name w:val="List Continue"/>
    <w:basedOn w:val="List"/>
    <w:rsid w:val="006C0587"/>
    <w:pPr>
      <w:ind w:firstLine="0"/>
    </w:pPr>
  </w:style>
  <w:style w:type="paragraph" w:customStyle="1" w:styleId="ListNote">
    <w:name w:val="List Note"/>
    <w:basedOn w:val="List"/>
    <w:rsid w:val="006C0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587"/>
    <w:rPr>
      <w:rFonts w:ascii="Courier New" w:hAnsi="Courier New"/>
    </w:rPr>
  </w:style>
  <w:style w:type="paragraph" w:customStyle="1" w:styleId="NoteBullet">
    <w:name w:val="Note Bullet"/>
    <w:basedOn w:val="Note"/>
    <w:rsid w:val="006C0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5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587"/>
    <w:rPr>
      <w:b/>
      <w:smallCaps/>
    </w:rPr>
  </w:style>
  <w:style w:type="paragraph" w:customStyle="1" w:styleId="TableListNumber">
    <w:name w:val="Table List Number"/>
    <w:basedOn w:val="ListNumber"/>
    <w:rsid w:val="006C0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587"/>
    <w:pPr>
      <w:numPr>
        <w:numId w:val="9"/>
      </w:numPr>
    </w:pPr>
  </w:style>
  <w:style w:type="paragraph" w:customStyle="1" w:styleId="ListAlpha2">
    <w:name w:val="List Alpha 2"/>
    <w:basedOn w:val="List2"/>
    <w:rsid w:val="006C0587"/>
    <w:pPr>
      <w:numPr>
        <w:numId w:val="8"/>
      </w:numPr>
    </w:pPr>
  </w:style>
  <w:style w:type="paragraph" w:styleId="List2">
    <w:name w:val="List 2"/>
    <w:basedOn w:val="BodyText"/>
    <w:rsid w:val="006C0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5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5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5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587"/>
    <w:pPr>
      <w:numPr>
        <w:numId w:val="4"/>
      </w:numPr>
    </w:pPr>
  </w:style>
  <w:style w:type="paragraph" w:styleId="ListContinue2">
    <w:name w:val="List Continue 2"/>
    <w:basedOn w:val="List2"/>
    <w:rsid w:val="006C0587"/>
    <w:pPr>
      <w:ind w:firstLine="0"/>
    </w:pPr>
  </w:style>
  <w:style w:type="paragraph" w:styleId="ListContinue3">
    <w:name w:val="List Continue 3"/>
    <w:basedOn w:val="List3"/>
    <w:rsid w:val="006C0587"/>
    <w:pPr>
      <w:ind w:left="1021" w:firstLine="0"/>
    </w:pPr>
  </w:style>
  <w:style w:type="paragraph" w:styleId="ListContinue4">
    <w:name w:val="List Continue 4"/>
    <w:basedOn w:val="List4"/>
    <w:rsid w:val="006C0587"/>
    <w:pPr>
      <w:ind w:firstLine="0"/>
    </w:pPr>
  </w:style>
  <w:style w:type="paragraph" w:styleId="ListContinue5">
    <w:name w:val="List Continue 5"/>
    <w:basedOn w:val="List5"/>
    <w:rsid w:val="006C0587"/>
    <w:pPr>
      <w:ind w:firstLine="0"/>
    </w:pPr>
  </w:style>
  <w:style w:type="paragraph" w:styleId="ListNumber3">
    <w:name w:val="List Number 3"/>
    <w:basedOn w:val="List3"/>
    <w:rsid w:val="006C0587"/>
    <w:pPr>
      <w:numPr>
        <w:numId w:val="5"/>
      </w:numPr>
    </w:pPr>
  </w:style>
  <w:style w:type="paragraph" w:styleId="ListNumber4">
    <w:name w:val="List Number 4"/>
    <w:basedOn w:val="List4"/>
    <w:rsid w:val="006C0587"/>
    <w:pPr>
      <w:numPr>
        <w:numId w:val="6"/>
      </w:numPr>
    </w:pPr>
  </w:style>
  <w:style w:type="paragraph" w:styleId="ListNumber5">
    <w:name w:val="List Number 5"/>
    <w:basedOn w:val="List5"/>
    <w:rsid w:val="006C0587"/>
    <w:pPr>
      <w:numPr>
        <w:numId w:val="7"/>
      </w:numPr>
    </w:pPr>
  </w:style>
  <w:style w:type="paragraph" w:styleId="BlockText">
    <w:name w:val="Block Text"/>
    <w:basedOn w:val="Normal"/>
    <w:rsid w:val="006C0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587"/>
    <w:rPr>
      <w:sz w:val="16"/>
      <w:vertAlign w:val="superscript"/>
    </w:rPr>
  </w:style>
  <w:style w:type="character" w:customStyle="1" w:styleId="Symbols">
    <w:name w:val="Symbols"/>
    <w:basedOn w:val="DefaultParagraphFont"/>
    <w:rsid w:val="006C0587"/>
    <w:rPr>
      <w:rFonts w:ascii="Symbol" w:hAnsi="Symbol"/>
    </w:rPr>
  </w:style>
  <w:style w:type="character" w:customStyle="1" w:styleId="MenuOptions">
    <w:name w:val="Menu Options"/>
    <w:basedOn w:val="DefaultParagraphFont"/>
    <w:rsid w:val="006C0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587"/>
    <w:rPr>
      <w:b/>
    </w:rPr>
  </w:style>
  <w:style w:type="character" w:customStyle="1" w:styleId="Underlined">
    <w:name w:val="Underlined"/>
    <w:basedOn w:val="DefaultParagraphFont"/>
    <w:rsid w:val="006C0587"/>
    <w:rPr>
      <w:u w:val="single"/>
    </w:rPr>
  </w:style>
  <w:style w:type="paragraph" w:customStyle="1" w:styleId="TableBodyTextRight">
    <w:name w:val="Table Body Text Right"/>
    <w:basedOn w:val="TableBodyText"/>
    <w:rsid w:val="006C0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587"/>
    <w:rPr>
      <w:sz w:val="18"/>
    </w:rPr>
  </w:style>
  <w:style w:type="paragraph" w:customStyle="1" w:styleId="BodySmallRight">
    <w:name w:val="Body Small Right"/>
    <w:basedOn w:val="BodyTextRight"/>
    <w:rsid w:val="006C0587"/>
    <w:rPr>
      <w:sz w:val="18"/>
      <w:szCs w:val="18"/>
    </w:rPr>
  </w:style>
  <w:style w:type="paragraph" w:customStyle="1" w:styleId="MarginEdition">
    <w:name w:val="Margin Edition"/>
    <w:basedOn w:val="MarginNote"/>
    <w:rsid w:val="006C0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587"/>
    <w:rPr>
      <w:sz w:val="2"/>
      <w:szCs w:val="2"/>
    </w:rPr>
  </w:style>
  <w:style w:type="character" w:customStyle="1" w:styleId="Small">
    <w:name w:val="Small"/>
    <w:basedOn w:val="DefaultParagraphFont"/>
    <w:rsid w:val="006C0587"/>
    <w:rPr>
      <w:sz w:val="16"/>
    </w:rPr>
  </w:style>
  <w:style w:type="paragraph" w:customStyle="1" w:styleId="WideTable">
    <w:name w:val="Wide Table"/>
    <w:basedOn w:val="Normal"/>
    <w:rsid w:val="006C0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587"/>
  </w:style>
  <w:style w:type="paragraph" w:styleId="Quote">
    <w:name w:val="Quote"/>
    <w:basedOn w:val="Heading1"/>
    <w:link w:val="QuoteChar"/>
    <w:qFormat/>
    <w:rsid w:val="006C0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587"/>
    <w:pPr>
      <w:pageBreakBefore/>
    </w:pPr>
  </w:style>
  <w:style w:type="paragraph" w:customStyle="1" w:styleId="Border">
    <w:name w:val="Border"/>
    <w:basedOn w:val="Normal"/>
    <w:qFormat/>
    <w:rsid w:val="006C0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587"/>
    <w:rPr>
      <w:u w:val="single"/>
    </w:rPr>
  </w:style>
  <w:style w:type="character" w:customStyle="1" w:styleId="BoldandItalics">
    <w:name w:val="Bold and Italics"/>
    <w:qFormat/>
    <w:rsid w:val="006C0587"/>
    <w:rPr>
      <w:b/>
      <w:i/>
      <w:u w:val="none"/>
    </w:rPr>
  </w:style>
  <w:style w:type="paragraph" w:styleId="BalloonText">
    <w:name w:val="Balloon Text"/>
    <w:basedOn w:val="Normal"/>
    <w:link w:val="BalloonTextChar"/>
    <w:rsid w:val="006C0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587"/>
    <w:pPr>
      <w:spacing w:before="0" w:after="0"/>
    </w:pPr>
  </w:style>
  <w:style w:type="paragraph" w:customStyle="1" w:styleId="BodyTextBold">
    <w:name w:val="Body Text Bold"/>
    <w:basedOn w:val="BodyText"/>
    <w:qFormat/>
    <w:rsid w:val="006C0587"/>
    <w:rPr>
      <w:b/>
    </w:rPr>
  </w:style>
  <w:style w:type="character" w:styleId="Hyperlink">
    <w:name w:val="Hyperlink"/>
    <w:basedOn w:val="DefaultParagraphFont"/>
    <w:uiPriority w:val="99"/>
    <w:unhideWhenUsed/>
    <w:rsid w:val="00431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1351</Words>
  <Characters>9315</Characters>
  <Application>Microsoft Office Word</Application>
  <DocSecurity>0</DocSecurity>
  <Lines>358</Lines>
  <Paragraphs>205</Paragraphs>
  <ScaleCrop>false</ScaleCrop>
  <Company>Author-it Software Corporation Ltd.</Company>
  <LinksUpToDate>false</LinksUpToDate>
  <CharactersWithSpaces>10461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MEM11002 Erect/dismantle intermediate scaffolding and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