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1A7" w:rsidP="00E53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MEM11001 Erect/dismantle scaffolding and equipment</w:t>
      </w:r>
      <w:r>
        <w:fldChar w:fldCharType="end"/>
      </w:r>
    </w:p>
    <w:p w:rsidR="00E531A7" w:rsidP="00E531A7">
      <w:pPr>
        <w:pStyle w:val="Version"/>
        <w:sectPr w:rsidSect="00ED3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09E" w:rsidP="00ED309E">
      <w:pPr>
        <w:pStyle w:val="SuperHeading"/>
      </w:pPr>
      <w:r w:rsidRPr="00ED309E">
        <w:t>MEM11001 Erect/dismantle scaffolding and equipment</w:t>
      </w:r>
    </w:p>
    <w:p w:rsidR="00000000" w:rsidRPr="00ED309E" w:rsidP="00ED309E">
      <w:pPr>
        <w:pStyle w:val="Heading1"/>
      </w:pPr>
      <w:bookmarkStart w:id="1" w:name="O_950381"/>
      <w:bookmarkEnd w:id="1"/>
      <w:r w:rsidRPr="00ED309E">
        <w:t>Modification History</w:t>
      </w:r>
    </w:p>
    <w:p w:rsidR="00000000" w:rsidRPr="00ED309E" w:rsidP="00E531A7">
      <w:pPr>
        <w:pStyle w:val="BodyText"/>
      </w:pPr>
      <w:r w:rsidRPr="00ED309E">
        <w:t xml:space="preserve">Release 1. Supersedes and is equivalent to MEM11001C Erect/dismantle scaffolding and equipment </w:t>
      </w:r>
    </w:p>
    <w:p w:rsidR="00000000" w:rsidRPr="00ED309E" w:rsidP="00ED309E">
      <w:pPr>
        <w:pStyle w:val="Heading1"/>
      </w:pPr>
      <w:bookmarkStart w:id="2" w:name="O_950389"/>
      <w:bookmarkEnd w:id="2"/>
      <w:r w:rsidRPr="00ED309E">
        <w:t>Application</w:t>
      </w:r>
    </w:p>
    <w:p w:rsidR="00000000" w:rsidRPr="00ED309E" w:rsidP="00E531A7">
      <w:pPr>
        <w:pStyle w:val="BodyText"/>
      </w:pPr>
      <w:r w:rsidRPr="00ED309E">
        <w:t>This unit of competency defines the skills and knowledge required to prepare, erect and dismantle scaf</w:t>
      </w:r>
      <w:r w:rsidRPr="00ED309E">
        <w:t xml:space="preserve">folding and equipment for maintenance and installation in a workshop and in factories, manufacturing plants and warehouses. </w:t>
      </w:r>
    </w:p>
    <w:p w:rsidR="00000000" w:rsidRPr="00ED309E" w:rsidP="00E531A7">
      <w:pPr>
        <w:pStyle w:val="BodyText"/>
      </w:pPr>
      <w:r w:rsidRPr="00ED309E">
        <w:t>Where interpretation of technical drawings is required unit MEM09002 Interpret technical drawing should also be selected.</w:t>
      </w:r>
    </w:p>
    <w:p w:rsidR="00000000" w:rsidRPr="00ED309E" w:rsidP="00E531A7">
      <w:pPr>
        <w:pStyle w:val="BodyText"/>
      </w:pPr>
      <w:r w:rsidRPr="00ED309E">
        <w:t>Where t</w:t>
      </w:r>
      <w:r w:rsidRPr="00ED309E">
        <w:t>he selection and use of engineering measurement is required unit MEM12023 Perform engineering measurements should also be selected.</w:t>
      </w:r>
    </w:p>
    <w:p w:rsidR="00000000" w:rsidRPr="00ED309E" w:rsidP="00E531A7">
      <w:pPr>
        <w:pStyle w:val="BodyText"/>
      </w:pPr>
      <w:r w:rsidRPr="00ED309E">
        <w:t>Where the selection and use of power tools/hand held operations is required unit MEM18002 Use power tools/hand held operati</w:t>
      </w:r>
      <w:r w:rsidRPr="00ED309E">
        <w:t>ons should also be selected.</w:t>
      </w:r>
    </w:p>
    <w:p w:rsidR="00000000" w:rsidRPr="00ED309E" w:rsidP="00E531A7">
      <w:pPr>
        <w:pStyle w:val="BodyText"/>
      </w:pPr>
      <w:r w:rsidRPr="00ED309E">
        <w:t>Depending on the equipment being used a high risk work licence may be required and users should check with the relevant authorities.</w:t>
      </w:r>
    </w:p>
    <w:p w:rsidR="00000000" w:rsidRPr="00ED309E" w:rsidP="00ED309E">
      <w:pPr>
        <w:pStyle w:val="BodyText"/>
      </w:pPr>
      <w:r w:rsidRPr="00ED309E">
        <w:rPr>
          <w:rStyle w:val="SpecialBold"/>
        </w:rPr>
        <w:t>Band</w:t>
      </w:r>
      <w:r w:rsidRPr="00ED309E">
        <w:t>:</w:t>
      </w:r>
      <w:r w:rsidRPr="00ED309E">
        <w:tab/>
      </w:r>
      <w:r w:rsidRPr="00ED309E">
        <w:rPr>
          <w:rStyle w:val="SpecialBold"/>
        </w:rPr>
        <w:t>A</w:t>
      </w:r>
    </w:p>
    <w:p w:rsidR="00000000" w:rsidRPr="00ED309E" w:rsidP="00ED309E">
      <w:pPr>
        <w:pStyle w:val="BodyText"/>
      </w:pPr>
      <w:r w:rsidRPr="00ED309E">
        <w:rPr>
          <w:rStyle w:val="SpecialBold"/>
        </w:rPr>
        <w:t>Unit Weight</w:t>
      </w:r>
      <w:r w:rsidRPr="00ED309E">
        <w:t>:</w:t>
      </w:r>
      <w:r w:rsidRPr="00ED309E">
        <w:tab/>
      </w:r>
      <w:r w:rsidRPr="00ED309E">
        <w:rPr>
          <w:rStyle w:val="SpecialBold"/>
        </w:rPr>
        <w:t>4</w:t>
      </w: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3" w:name="O_950388"/>
      <w:bookmarkEnd w:id="3"/>
      <w:r w:rsidRPr="00ED309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Undertake manual handlin</w:t>
            </w:r>
            <w:r w:rsidRPr="00ED309E">
              <w:t>g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Work safely and effectively in manufacturing and engineering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Organise and communicate information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Use hand tools</w:t>
            </w:r>
          </w:p>
        </w:tc>
      </w:tr>
    </w:tbl>
    <w:p w:rsidR="00000000" w:rsidRPr="00ED309E" w:rsidP="00ED309E">
      <w:pPr>
        <w:pStyle w:val="BodyText"/>
      </w:pP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4" w:name="O_950387"/>
      <w:bookmarkEnd w:id="4"/>
      <w:r w:rsidRPr="00ED309E">
        <w:t>Competency Field</w:t>
      </w:r>
    </w:p>
    <w:p w:rsidR="00000000" w:rsidRPr="00ED309E" w:rsidP="00E531A7">
      <w:pPr>
        <w:pStyle w:val="BodyText"/>
      </w:pPr>
      <w:r w:rsidRPr="00ED309E">
        <w:t>Materials handling</w:t>
      </w:r>
    </w:p>
    <w:p w:rsidR="00000000" w:rsidRPr="00ED309E" w:rsidP="00ED309E">
      <w:pPr>
        <w:pStyle w:val="Heading1"/>
      </w:pPr>
      <w:bookmarkStart w:id="5" w:name="O_950385"/>
      <w:bookmarkEnd w:id="5"/>
      <w:r w:rsidRPr="00ED30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Performance criteria describe the performance needed to demonstrate achievement of the element.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Follow standard operating procedures (SOPs)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Comply with work health and safety (WHS) requirements at all times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Use appropriate personal protective equipment (PPE) in accordance with SOPs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Interpret site plans, scaffolding/equipment designs and drawings to industry practices, as necessary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Prepare to erect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Inspect work area to identify hazards and implement appropriate prevention/control measures to avoid hazard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Prepare erection site to meet job requirements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Place necessary signage and barriers and third-party protection measures in appropriate position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Erect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 xml:space="preserve">Select and inspect appropriate scaffolding/equipment components and label and reject damaged components 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Erect scaffolding/equipment to plan and in accordance with safe work practices, Australian Standards, state and territory legislative requiremen</w:t>
            </w:r>
            <w:r w:rsidRPr="00ED309E">
              <w:t>ts and equipment manufacturers</w:t>
            </w:r>
            <w:r>
              <w:t>’</w:t>
            </w:r>
            <w:r w:rsidRPr="00ED309E">
              <w:t xml:space="preserve"> requirements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Check the completed scaffolding/equipment for safety and operational requirements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Leave site clear of all surplus components, equipment, tools and debris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 xml:space="preserve">Inspect, repair </w:t>
            </w:r>
            <w:r w:rsidRPr="00ED309E">
              <w:rPr>
                <w:rStyle w:val="SpecialBold"/>
              </w:rPr>
              <w:t>and alter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 xml:space="preserve">Repair or send for repair rejected components 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Inspect the scaffolding/equipment for damage, corrosion and wear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Carry out any alteration or repair in accordance with safe work practices and leg</w:t>
            </w:r>
            <w:r w:rsidRPr="00ED309E">
              <w:t>islative requirements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Complete any inspection log, as required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Dismantle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Inspect scaffolding/equipment for damage, corrosion or wear and note for consideration in planning for dismantling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Dismantle scaffolding/equipment in accordance with site procedures, state and territory legislative requirements and critical structural and safety requirements</w:t>
            </w:r>
          </w:p>
        </w:tc>
      </w:tr>
      <w:tr w:rsidTr="00E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BodyText"/>
            </w:pPr>
            <w:r w:rsidRPr="00ED309E">
              <w:t>Clean and clear site of all tools, excess material and debris and leave in a safe state</w:t>
            </w:r>
          </w:p>
        </w:tc>
      </w:tr>
    </w:tbl>
    <w:p w:rsidR="00000000" w:rsidRPr="00ED309E" w:rsidP="00ED309E">
      <w:pPr>
        <w:pStyle w:val="BodyText"/>
      </w:pP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6" w:name="O_950384"/>
      <w:bookmarkEnd w:id="6"/>
      <w:r w:rsidRPr="00ED309E">
        <w:t>Foundation Skills</w:t>
      </w:r>
    </w:p>
    <w:p w:rsidR="00000000" w:rsidRPr="00ED309E" w:rsidP="00E531A7">
      <w:pPr>
        <w:pStyle w:val="BodyText"/>
      </w:pPr>
      <w:r w:rsidRPr="00ED309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D309E" w:rsidP="00E531A7">
      <w:pPr>
        <w:pStyle w:val="BodyText"/>
      </w:pPr>
      <w:r w:rsidRPr="00ED309E">
        <w:t>Foundation skills essential to performance are explicit in the performance criteria of this unit of competency.</w:t>
      </w:r>
    </w:p>
    <w:p w:rsidR="00000000" w:rsidRPr="00ED309E" w:rsidP="00ED309E">
      <w:pPr>
        <w:pStyle w:val="Heading1"/>
      </w:pPr>
      <w:bookmarkStart w:id="7" w:name="O_950383"/>
      <w:bookmarkEnd w:id="7"/>
      <w:r w:rsidRPr="00ED309E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t>This field allows for different work environments and conditions that may affect performance. Essential ope</w:t>
            </w:r>
            <w:r w:rsidRPr="00ED309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Scaffolding/equipment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ListBullet"/>
            </w:pPr>
            <w:r w:rsidRPr="00ED309E">
              <w:t>modular o</w:t>
            </w:r>
            <w:r w:rsidRPr="00ED309E">
              <w:t>r prefabricated scaffolds</w:t>
            </w:r>
          </w:p>
          <w:p w:rsidR="00000000" w:rsidRPr="00ED309E" w:rsidP="00ED309E">
            <w:pPr>
              <w:pStyle w:val="ListBullet"/>
            </w:pPr>
            <w:r w:rsidRPr="00ED309E">
              <w:t>cantilevered materials hoists with a maximum working load of 500 kg</w:t>
            </w:r>
          </w:p>
          <w:p w:rsidR="00000000" w:rsidRPr="00ED309E" w:rsidP="00ED309E">
            <w:pPr>
              <w:pStyle w:val="ListBullet"/>
            </w:pPr>
            <w:r w:rsidRPr="00ED309E">
              <w:t>ropes and gin wheels</w:t>
            </w:r>
          </w:p>
          <w:p w:rsidR="00000000" w:rsidRPr="00ED309E" w:rsidP="00ED309E">
            <w:pPr>
              <w:pStyle w:val="ListBullet"/>
            </w:pPr>
            <w:r w:rsidRPr="00ED309E">
              <w:t>safety nets and static lines</w:t>
            </w:r>
          </w:p>
          <w:p w:rsidR="00000000" w:rsidRPr="00ED309E" w:rsidP="00ED309E">
            <w:pPr>
              <w:pStyle w:val="ListBullet"/>
            </w:pPr>
            <w:r w:rsidRPr="00ED309E">
              <w:t>bracket scaffolds (tank and formwork)</w:t>
            </w:r>
          </w:p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ListBullet"/>
            </w:pPr>
            <w:r w:rsidRPr="00ED309E">
              <w:t>chemicals</w:t>
            </w:r>
          </w:p>
          <w:p w:rsidR="00000000" w:rsidRPr="00ED309E" w:rsidP="00ED309E">
            <w:pPr>
              <w:pStyle w:val="ListBullet"/>
            </w:pPr>
            <w:r w:rsidRPr="00ED309E">
              <w:t>dangerous or hazardous substances/materials</w:t>
            </w:r>
          </w:p>
          <w:p w:rsidR="00000000" w:rsidRPr="00ED309E" w:rsidP="00ED309E">
            <w:pPr>
              <w:pStyle w:val="ListBullet"/>
            </w:pPr>
            <w:r w:rsidRPr="00ED309E">
              <w:t>movement of equipment, goods and materials</w:t>
            </w:r>
          </w:p>
          <w:p w:rsidR="00000000" w:rsidRPr="00ED309E" w:rsidP="00ED309E">
            <w:pPr>
              <w:pStyle w:val="ListBullet"/>
            </w:pPr>
            <w:r w:rsidRPr="00ED309E">
              <w:t>vehicular traffic</w:t>
            </w:r>
          </w:p>
          <w:p w:rsidR="00000000" w:rsidRPr="00ED309E" w:rsidP="00ED309E">
            <w:pPr>
              <w:pStyle w:val="ListBullet"/>
            </w:pPr>
            <w:r w:rsidRPr="00ED309E">
              <w:t>uneven/unstable terrain</w:t>
            </w:r>
          </w:p>
          <w:p w:rsidR="00000000" w:rsidRPr="00ED309E" w:rsidP="00ED309E">
            <w:pPr>
              <w:pStyle w:val="ListBullet"/>
            </w:pPr>
            <w:r w:rsidRPr="00ED309E">
              <w:t>overhead service lines</w:t>
            </w:r>
          </w:p>
          <w:p w:rsidR="00000000" w:rsidRPr="00ED309E" w:rsidP="00ED309E">
            <w:pPr>
              <w:pStyle w:val="ListBullet"/>
            </w:pPr>
            <w:r w:rsidRPr="00ED309E">
              <w:t>trees</w:t>
            </w:r>
          </w:p>
          <w:p w:rsidR="00000000" w:rsidRPr="00ED309E" w:rsidP="00ED309E">
            <w:pPr>
              <w:pStyle w:val="ListBullet"/>
            </w:pPr>
            <w:r w:rsidRPr="00ED309E">
              <w:t>underground services</w:t>
            </w:r>
          </w:p>
          <w:p w:rsidR="00000000" w:rsidRPr="00ED309E" w:rsidP="00ED309E">
            <w:pPr>
              <w:pStyle w:val="ListBullet"/>
            </w:pPr>
            <w:r w:rsidRPr="00ED309E">
              <w:t>obstructions</w:t>
            </w:r>
          </w:p>
          <w:p w:rsidR="00000000" w:rsidRPr="00ED309E" w:rsidP="00ED309E">
            <w:pPr>
              <w:pStyle w:val="ListBullet"/>
            </w:pPr>
            <w:r w:rsidRPr="00ED309E">
              <w:t>structures</w:t>
            </w:r>
          </w:p>
          <w:p w:rsidR="00000000" w:rsidRPr="00ED309E" w:rsidP="00ED309E">
            <w:pPr>
              <w:pStyle w:val="ListBullet"/>
            </w:pPr>
            <w:r w:rsidRPr="00ED309E">
              <w:t>surrounding buildings</w:t>
            </w:r>
          </w:p>
          <w:p w:rsidR="00000000" w:rsidRPr="00ED309E" w:rsidP="00ED309E">
            <w:pPr>
              <w:pStyle w:val="ListBullet"/>
            </w:pPr>
            <w:r w:rsidRPr="00ED309E">
              <w:t>facilities</w:t>
            </w:r>
          </w:p>
          <w:p w:rsidR="00000000" w:rsidRPr="00ED309E" w:rsidP="00ED309E">
            <w:pPr>
              <w:pStyle w:val="ListBullet"/>
            </w:pPr>
            <w:r w:rsidRPr="00ED309E">
              <w:t>bridges/walkways</w:t>
            </w:r>
          </w:p>
          <w:p w:rsidR="00000000" w:rsidRPr="00ED309E" w:rsidP="00ED309E">
            <w:pPr>
              <w:pStyle w:val="ListBullet"/>
            </w:pPr>
            <w:r w:rsidRPr="00ED309E">
              <w:t>lifting equipment</w:t>
            </w:r>
          </w:p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Prescribed procedures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ListBullet"/>
            </w:pPr>
            <w:r w:rsidRPr="00ED309E">
              <w:t>clarification of instructions and/or plans either written or from authorised personnel</w:t>
            </w:r>
          </w:p>
          <w:p w:rsidR="00000000" w:rsidRPr="00ED309E" w:rsidP="00ED309E">
            <w:pPr>
              <w:pStyle w:val="ListBullet"/>
            </w:pPr>
            <w:r w:rsidRPr="00ED309E">
              <w:t>site safety policy and procedures</w:t>
            </w:r>
          </w:p>
          <w:p w:rsidR="00000000" w:rsidRPr="00ED309E" w:rsidP="00ED309E">
            <w:pPr>
              <w:pStyle w:val="ListBullet"/>
            </w:pPr>
            <w:r w:rsidRPr="00ED309E">
              <w:t>SOPs</w:t>
            </w:r>
          </w:p>
          <w:p w:rsidR="00000000" w:rsidRPr="00ED309E" w:rsidP="00ED309E">
            <w:pPr>
              <w:pStyle w:val="ListBullet"/>
            </w:pPr>
            <w:r w:rsidRPr="00ED309E">
              <w:t>correct use of equipment</w:t>
            </w:r>
          </w:p>
          <w:p w:rsidR="00000000" w:rsidRPr="00ED309E" w:rsidP="00ED309E">
            <w:pPr>
              <w:pStyle w:val="ListBullet"/>
            </w:pPr>
            <w:r w:rsidRPr="00ED309E">
              <w:t>industry standards a</w:t>
            </w:r>
            <w:r w:rsidRPr="00ED309E">
              <w:t>nd requirements</w:t>
            </w:r>
          </w:p>
          <w:p w:rsidR="00000000" w:rsidRPr="00ED309E" w:rsidP="00ED309E">
            <w:pPr>
              <w:pStyle w:val="ListBullet"/>
            </w:pPr>
            <w:r w:rsidRPr="00ED309E">
              <w:t>manufacturers</w:t>
            </w:r>
            <w:r>
              <w:t>’</w:t>
            </w:r>
            <w:r w:rsidRPr="00ED309E">
              <w:t xml:space="preserve"> specifications</w:t>
            </w:r>
          </w:p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 xml:space="preserve">Signage and barriers and third-party protection measures include one (1) or more of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ListBullet"/>
            </w:pPr>
            <w:r w:rsidRPr="00ED309E">
              <w:t xml:space="preserve">physical barriers (para webbing, bollards, timber or metal barriers) </w:t>
            </w:r>
          </w:p>
          <w:p w:rsidR="00000000" w:rsidRPr="00ED309E" w:rsidP="00ED309E">
            <w:pPr>
              <w:pStyle w:val="ListBullet"/>
            </w:pPr>
            <w:r w:rsidRPr="00ED309E">
              <w:t>warning/direction signs</w:t>
            </w:r>
          </w:p>
          <w:p w:rsidR="00000000" w:rsidRPr="00ED309E" w:rsidP="00ED309E">
            <w:pPr>
              <w:pStyle w:val="ListBullet"/>
            </w:pPr>
            <w:r w:rsidRPr="00ED309E">
              <w:t>personnel to restrict unauthorised access (spotters)</w:t>
            </w:r>
          </w:p>
          <w:p w:rsidR="00000000" w:rsidRPr="00ED309E" w:rsidP="00ED309E">
            <w:pPr>
              <w:pStyle w:val="ListBullet"/>
            </w:pPr>
            <w:r w:rsidRPr="00ED309E">
              <w:t>permits to work</w:t>
            </w:r>
          </w:p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 xml:space="preserve">Safe work practices include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ListBullet"/>
            </w:pPr>
            <w:r w:rsidRPr="00ED309E">
              <w:t>hazard identification</w:t>
            </w:r>
          </w:p>
          <w:p w:rsidR="00000000" w:rsidRPr="00ED309E" w:rsidP="00ED309E">
            <w:pPr>
              <w:pStyle w:val="ListBullet"/>
            </w:pPr>
            <w:r w:rsidRPr="00ED309E">
              <w:t>risk assessment</w:t>
            </w:r>
          </w:p>
          <w:p w:rsidR="00000000" w:rsidRPr="00ED309E" w:rsidP="00ED309E">
            <w:pPr>
              <w:pStyle w:val="ListBullet"/>
            </w:pPr>
            <w:r w:rsidRPr="00ED309E">
              <w:t>risk reduction measures</w:t>
            </w:r>
          </w:p>
          <w:p w:rsidR="00000000" w:rsidRPr="00ED309E" w:rsidP="00ED309E">
            <w:pPr>
              <w:pStyle w:val="ListBullet"/>
            </w:pPr>
            <w:r w:rsidRPr="00ED309E">
              <w:t xml:space="preserve">housekeeping </w:t>
            </w:r>
          </w:p>
          <w:p w:rsidR="00000000" w:rsidRPr="00ED309E" w:rsidP="00ED309E">
            <w:pPr>
              <w:pStyle w:val="ListBullet"/>
            </w:pPr>
            <w:r w:rsidRPr="00ED309E">
              <w:t>PPE</w:t>
            </w:r>
          </w:p>
          <w:p w:rsidR="00000000" w:rsidP="00ED309E">
            <w:pPr>
              <w:pStyle w:val="BodyText"/>
              <w:rPr>
                <w:lang w:val="en-NZ"/>
              </w:rPr>
            </w:pPr>
          </w:p>
        </w:tc>
      </w:tr>
      <w:tr w:rsidTr="00ED30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09E">
            <w:pPr>
              <w:pStyle w:val="BodyText"/>
              <w:rPr>
                <w:lang w:val="en-NZ"/>
              </w:rPr>
            </w:pPr>
            <w:r w:rsidRPr="00ED309E">
              <w:rPr>
                <w:rStyle w:val="SpecialBold"/>
              </w:rPr>
              <w:t>State and territory legislative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09E" w:rsidP="00ED309E">
            <w:pPr>
              <w:pStyle w:val="ListBullet"/>
            </w:pPr>
            <w:r w:rsidRPr="00ED309E">
              <w:t>appropriate WHS and Scaffolding Acts and regulations</w:t>
            </w:r>
          </w:p>
          <w:p w:rsidR="00000000" w:rsidRPr="00ED309E" w:rsidP="00ED309E">
            <w:pPr>
              <w:pStyle w:val="ListBullet"/>
            </w:pPr>
            <w:r w:rsidRPr="00ED309E">
              <w:t>Australian Standards and codes of practice, including:</w:t>
            </w:r>
          </w:p>
          <w:p w:rsidR="00000000" w:rsidRPr="00ED309E" w:rsidP="00ED309E">
            <w:pPr>
              <w:pStyle w:val="ListBullet2"/>
            </w:pPr>
            <w:r w:rsidRPr="00ED309E">
              <w:t>NOHSC:1006, National Occupational Health and Safety Certification Standards fo</w:t>
            </w:r>
            <w:r w:rsidRPr="00ED309E">
              <w:t>r Users and Operators of Industrial Equipment</w:t>
            </w:r>
          </w:p>
        </w:tc>
      </w:tr>
    </w:tbl>
    <w:p w:rsidR="00000000" w:rsidRPr="00ED309E" w:rsidP="00ED309E">
      <w:pPr>
        <w:pStyle w:val="BodyText"/>
      </w:pP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8" w:name="O_950382"/>
      <w:bookmarkEnd w:id="8"/>
      <w:r w:rsidRPr="00ED309E">
        <w:t>Unit Mapping Information</w:t>
      </w:r>
    </w:p>
    <w:p w:rsidR="00000000" w:rsidRPr="00ED309E" w:rsidP="00E531A7">
      <w:pPr>
        <w:pStyle w:val="BodyText"/>
      </w:pPr>
      <w:r w:rsidRPr="00ED309E">
        <w:t xml:space="preserve">Release 1. Supersedes and is equivalent to MEM11001C Erect/dismantle scaffolding and equipment </w:t>
      </w:r>
    </w:p>
    <w:p w:rsidR="00000000" w:rsidRPr="00ED309E" w:rsidP="00ED309E">
      <w:pPr>
        <w:pStyle w:val="Heading1"/>
      </w:pPr>
      <w:bookmarkStart w:id="9" w:name="O_950375"/>
      <w:bookmarkEnd w:id="9"/>
      <w:r w:rsidRPr="00ED309E">
        <w:t>Links</w:t>
      </w:r>
    </w:p>
    <w:p w:rsidR="00000000" w:rsidRPr="00ED309E" w:rsidP="00E531A7">
      <w:pPr>
        <w:pStyle w:val="BodyText"/>
      </w:pPr>
      <w:r w:rsidRPr="00ED3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4B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309E" w:rsidP="00E531A7">
      <w:pPr>
        <w:pStyle w:val="BodyText"/>
        <w:sectPr w:rsidSect="00ED30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309E" w:rsidP="00ED309E">
      <w:pPr>
        <w:pStyle w:val="SuperHeading"/>
      </w:pPr>
      <w:r w:rsidRPr="00ED309E">
        <w:t>Assessment Requirements fo</w:t>
      </w:r>
      <w:r w:rsidRPr="00ED309E">
        <w:t>r MEM11001 Erect/dismantle scaffolding and equipment</w:t>
      </w:r>
    </w:p>
    <w:p w:rsidR="00000000" w:rsidRPr="00ED309E" w:rsidP="00ED309E">
      <w:pPr>
        <w:pStyle w:val="Heading1"/>
      </w:pPr>
      <w:bookmarkStart w:id="10" w:name="O_950377"/>
      <w:bookmarkEnd w:id="10"/>
      <w:r w:rsidRPr="00ED309E">
        <w:t>Modification History</w:t>
      </w:r>
    </w:p>
    <w:p w:rsidR="00000000" w:rsidRPr="00ED309E" w:rsidP="00E531A7">
      <w:pPr>
        <w:pStyle w:val="BodyText"/>
      </w:pPr>
      <w:r w:rsidRPr="00ED309E">
        <w:t xml:space="preserve">Release 1. Supersedes and is equivalent to MEM11001C Erect/dismantle scaffolding and equipment </w:t>
      </w:r>
    </w:p>
    <w:p w:rsidR="00000000" w:rsidRPr="00ED309E" w:rsidP="00ED309E">
      <w:pPr>
        <w:pStyle w:val="Heading1"/>
      </w:pPr>
      <w:bookmarkStart w:id="11" w:name="O_950380"/>
      <w:bookmarkEnd w:id="11"/>
      <w:r w:rsidRPr="00ED309E">
        <w:t>Performance Evidence</w:t>
      </w:r>
    </w:p>
    <w:p w:rsidR="00000000" w:rsidRPr="00ED309E" w:rsidP="00E531A7">
      <w:pPr>
        <w:pStyle w:val="BodyText"/>
      </w:pPr>
      <w:r w:rsidRPr="00ED309E">
        <w:t>Evidence required to demonstrate competence in this unit must be relevant to and satisfy the requirements of the elements and performance criteria on at least two (2) occasions and include:</w:t>
      </w:r>
    </w:p>
    <w:p w:rsidR="00000000" w:rsidRPr="00ED309E" w:rsidP="00ED309E">
      <w:pPr>
        <w:pStyle w:val="ListBullet"/>
      </w:pPr>
      <w:r w:rsidRPr="00ED309E">
        <w:t>following work instructions, standard operating procedures (SOPs)</w:t>
      </w:r>
      <w:r w:rsidRPr="00ED309E">
        <w:t xml:space="preserve"> and safe work practices </w:t>
      </w:r>
    </w:p>
    <w:p w:rsidR="00000000" w:rsidRPr="00ED309E" w:rsidP="00ED309E">
      <w:pPr>
        <w:pStyle w:val="ListBullet"/>
      </w:pPr>
      <w:r w:rsidRPr="00ED309E">
        <w:t>identifying and interpreting specifications and legislative requirements for erecting scaffolding</w:t>
      </w:r>
    </w:p>
    <w:p w:rsidR="00000000" w:rsidRPr="00ED309E" w:rsidP="00ED309E">
      <w:pPr>
        <w:pStyle w:val="ListBullet"/>
      </w:pPr>
      <w:r w:rsidRPr="00ED309E">
        <w:t>preparing the site for erection of scaffolding</w:t>
      </w:r>
    </w:p>
    <w:p w:rsidR="00000000" w:rsidRPr="00ED309E" w:rsidP="00ED309E">
      <w:pPr>
        <w:pStyle w:val="ListBullet"/>
      </w:pPr>
      <w:r w:rsidRPr="00ED309E">
        <w:t>assessing the risks associated with erecting/dismantling scaffolding and equipment an</w:t>
      </w:r>
      <w:r w:rsidRPr="00ED309E">
        <w:t>d determining the most appropriate technique</w:t>
      </w:r>
    </w:p>
    <w:p w:rsidR="00000000" w:rsidRPr="00ED309E" w:rsidP="00ED309E">
      <w:pPr>
        <w:pStyle w:val="ListBullet"/>
      </w:pPr>
      <w:r w:rsidRPr="00ED309E">
        <w:t>using relevant hand tools and manual handling techniques ensuring the scaffolding is level</w:t>
      </w:r>
    </w:p>
    <w:p w:rsidR="00000000" w:rsidRPr="00ED309E" w:rsidP="00ED309E">
      <w:pPr>
        <w:pStyle w:val="ListBullet"/>
      </w:pPr>
      <w:r w:rsidRPr="00ED309E">
        <w:t>undertaking site clean-up and remediation</w:t>
      </w:r>
    </w:p>
    <w:p w:rsidR="00000000" w:rsidRPr="00ED309E" w:rsidP="00ED309E">
      <w:pPr>
        <w:pStyle w:val="ListBullet"/>
      </w:pPr>
      <w:r w:rsidRPr="00ED309E">
        <w:t>working safely and confidently at heights.</w:t>
      </w: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12" w:name="O_950379"/>
      <w:bookmarkEnd w:id="12"/>
      <w:r w:rsidRPr="00ED309E">
        <w:t>Knowledge Evidence</w:t>
      </w:r>
    </w:p>
    <w:p w:rsidR="00000000" w:rsidRPr="00ED309E" w:rsidP="00E531A7">
      <w:pPr>
        <w:pStyle w:val="BodyText"/>
      </w:pPr>
      <w:r w:rsidRPr="00ED309E">
        <w:t>Evidence required to demonstrate the required knowledge for this unit must be relevant to and satisfy the requirements of the elements and performance criteria and include knowledge of:</w:t>
      </w:r>
    </w:p>
    <w:p w:rsidR="00000000" w:rsidRPr="00ED309E" w:rsidP="00ED309E">
      <w:pPr>
        <w:pStyle w:val="ListBullet"/>
      </w:pPr>
      <w:r w:rsidRPr="00ED309E">
        <w:t>safe work practices and procedures and use of personal protective eq</w:t>
      </w:r>
      <w:r w:rsidRPr="00ED309E">
        <w:t>uipment (PPE)</w:t>
      </w:r>
    </w:p>
    <w:p w:rsidR="00000000" w:rsidRPr="00ED309E" w:rsidP="00ED309E">
      <w:pPr>
        <w:pStyle w:val="ListBullet"/>
      </w:pPr>
      <w:r w:rsidRPr="00ED309E">
        <w:t>erection and dismantling procedures as set out in relevant Australian Standards</w:t>
      </w:r>
    </w:p>
    <w:p w:rsidR="00000000" w:rsidRPr="00ED309E" w:rsidP="00ED309E">
      <w:pPr>
        <w:pStyle w:val="ListBullet"/>
      </w:pPr>
      <w:r w:rsidRPr="00ED309E">
        <w:t>codes of practice, for example, the Scaffolder</w:t>
      </w:r>
      <w:r>
        <w:t>’</w:t>
      </w:r>
      <w:r w:rsidRPr="00ED309E">
        <w:t>s Guide, and relevant acts and regulations</w:t>
      </w:r>
    </w:p>
    <w:p w:rsidR="00000000" w:rsidRPr="00ED309E" w:rsidP="00ED309E">
      <w:pPr>
        <w:pStyle w:val="ListBullet"/>
      </w:pPr>
      <w:r w:rsidRPr="00ED309E">
        <w:t>site specific requirements</w:t>
      </w:r>
    </w:p>
    <w:p w:rsidR="00000000" w:rsidRPr="00ED309E" w:rsidP="00ED309E">
      <w:pPr>
        <w:pStyle w:val="ListBullet"/>
      </w:pPr>
      <w:r w:rsidRPr="00ED309E">
        <w:t xml:space="preserve">scaffolding techniques and equipment and its </w:t>
      </w:r>
      <w:r w:rsidRPr="00ED309E">
        <w:t>limitations</w:t>
      </w:r>
    </w:p>
    <w:p w:rsidR="00000000" w:rsidRPr="00ED309E" w:rsidP="00ED309E">
      <w:pPr>
        <w:pStyle w:val="ListBullet"/>
      </w:pPr>
      <w:r w:rsidRPr="00ED309E">
        <w:t>materials handling, storage and environmentally friendly waste management.</w:t>
      </w: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13" w:name="O_950378"/>
      <w:bookmarkEnd w:id="13"/>
      <w:r w:rsidRPr="00ED309E">
        <w:t>Assessment Conditions</w:t>
      </w:r>
    </w:p>
    <w:p w:rsidR="00000000" w:rsidRPr="00ED309E" w:rsidP="00ED309E">
      <w:pPr>
        <w:pStyle w:val="ListBullet"/>
      </w:pPr>
      <w:r w:rsidRPr="00ED309E">
        <w:t>Assessors must:</w:t>
      </w:r>
    </w:p>
    <w:p w:rsidR="00000000" w:rsidRPr="00ED309E" w:rsidP="00ED309E">
      <w:pPr>
        <w:pStyle w:val="ListBullet2"/>
      </w:pPr>
      <w:r w:rsidRPr="00ED309E">
        <w:t xml:space="preserve">have vocational competency in erecting/dismantling scaffolding and equipment at least to the level </w:t>
      </w:r>
      <w:r w:rsidRPr="00ED309E">
        <w:t>being assessed with relevant industry knowledge and experience</w:t>
      </w:r>
    </w:p>
    <w:p w:rsidR="00000000" w:rsidRPr="00ED309E" w:rsidP="00ED309E">
      <w:pPr>
        <w:pStyle w:val="ListBullet2"/>
      </w:pPr>
      <w:r w:rsidRPr="00ED309E">
        <w:t xml:space="preserve">satisfy the assessor requirements in the </w:t>
      </w:r>
      <w:r w:rsidRPr="00ED309E">
        <w:rPr>
          <w:rStyle w:val="Emphasis"/>
        </w:rPr>
        <w:t xml:space="preserve">Standards for Registered Training Organisations 2015 </w:t>
      </w:r>
      <w:r w:rsidRPr="00ED309E">
        <w:t>or its replacement</w:t>
      </w:r>
      <w:r w:rsidRPr="00ED309E">
        <w:rPr>
          <w:rStyle w:val="Emphasis"/>
        </w:rPr>
        <w:t xml:space="preserve"> </w:t>
      </w:r>
      <w:r w:rsidRPr="00ED309E">
        <w:t xml:space="preserve">and comply with the </w:t>
      </w:r>
      <w:r w:rsidRPr="00ED309E">
        <w:rPr>
          <w:rStyle w:val="Emphasis"/>
        </w:rPr>
        <w:t>National Vocational Education and Training Regulator Act 201</w:t>
      </w:r>
      <w:r w:rsidRPr="00ED309E">
        <w:rPr>
          <w:rStyle w:val="Emphasis"/>
        </w:rPr>
        <w:t xml:space="preserve">1, </w:t>
      </w:r>
      <w:r w:rsidRPr="00ED309E">
        <w:t>its replacement</w:t>
      </w:r>
      <w:r w:rsidRPr="00ED309E">
        <w:rPr>
          <w:rStyle w:val="Emphasis"/>
        </w:rPr>
        <w:t xml:space="preserve"> </w:t>
      </w:r>
      <w:r w:rsidRPr="00ED309E">
        <w:t>or equivalent legislation covering VET regulation in a non-referring state/territory as the case requires</w:t>
      </w:r>
    </w:p>
    <w:p w:rsidR="00000000" w:rsidRPr="00ED309E" w:rsidP="00ED309E">
      <w:pPr>
        <w:pStyle w:val="ListBullet"/>
      </w:pPr>
      <w:r w:rsidRPr="00ED309E">
        <w:t>Where possible assessment must occur in operational workplace situations. Where this is not possible or where personal safety or e</w:t>
      </w:r>
      <w:r w:rsidRPr="00ED309E">
        <w:t>nvironmental damage are limiting factors, assessment must occur in a sufficiently rigorous simulated environment that reflects realistic operational workplace conditions. This must cover all aspects of workplace performance, including environment, task ski</w:t>
      </w:r>
      <w:r w:rsidRPr="00ED309E">
        <w:t>lls, task management skills, contingency management skills and job role environment skills</w:t>
      </w:r>
    </w:p>
    <w:p w:rsidR="00000000" w:rsidRPr="00ED309E" w:rsidP="00ED309E">
      <w:pPr>
        <w:pStyle w:val="ListBullet"/>
      </w:pPr>
      <w:r w:rsidRPr="00ED309E">
        <w:t>Conditions for assessment must include access to all tools, equipment, materials and documentation required, including relevant workplace procedures, product and man</w:t>
      </w:r>
      <w:r w:rsidRPr="00ED309E">
        <w:t>ufacturing specifications</w:t>
      </w:r>
    </w:p>
    <w:p w:rsidR="00000000" w:rsidRPr="00ED309E" w:rsidP="00ED309E">
      <w:pPr>
        <w:pStyle w:val="ListBullet"/>
      </w:pPr>
      <w:r w:rsidRPr="00ED309E">
        <w:t>Assessment processes and techniques must be appropriate to the language, literacy and numeracy requirements of the work being performed and the needs of the candidate.</w:t>
      </w:r>
    </w:p>
    <w:p w:rsidR="00000000" w:rsidRPr="00ED309E" w:rsidP="00ED309E">
      <w:pPr>
        <w:pStyle w:val="AllowPageBreak"/>
      </w:pPr>
    </w:p>
    <w:p w:rsidR="00000000" w:rsidRPr="00ED309E" w:rsidP="00ED309E">
      <w:pPr>
        <w:pStyle w:val="Heading1"/>
      </w:pPr>
      <w:bookmarkStart w:id="14" w:name="O_950376"/>
      <w:bookmarkEnd w:id="14"/>
      <w:r w:rsidRPr="00ED309E">
        <w:t>Links</w:t>
      </w:r>
    </w:p>
    <w:p w:rsidR="00000000" w:rsidRPr="00ED309E" w:rsidP="00E531A7">
      <w:pPr>
        <w:pStyle w:val="BodyText"/>
      </w:pPr>
      <w:r w:rsidRPr="00ED309E">
        <w:t xml:space="preserve">Companion Volume implementation guides </w:t>
      </w:r>
      <w:r w:rsidRPr="00ED309E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4B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309E" w:rsidP="00ED309E"/>
    <w:sectPr w:rsidSect="00ED30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 w:rsidRPr="00E531A7" w:rsidP="00E53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A7" w:rsidP="00ED3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31A7" w:rsidP="00ED3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31A7" w:rsidP="00ED30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 w:rsidP="00ED3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1A7">
      <w:t>Approved</w:t>
    </w:r>
    <w:r w:rsidR="00E531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1A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1A7">
      <w:rPr>
        <w:noProof/>
      </w:rPr>
      <w:t>6</w:t>
    </w:r>
    <w:r>
      <w:rPr>
        <w:noProof/>
      </w:rPr>
      <w:fldChar w:fldCharType="end"/>
    </w:r>
  </w:p>
  <w:p w:rsidR="00ED309E" w:rsidP="00ED3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1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1A7">
      <w:t>Manufacturing Industry Skills Alliance</w:t>
    </w:r>
    <w:r w:rsidR="00E531A7">
      <w:fldChar w:fldCharType="end"/>
    </w:r>
  </w:p>
  <w:p w:rsidR="00ED309E" w:rsidP="00ED3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09E" w:rsidRPr="00E531A7" w:rsidP="00E53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A7" w:rsidRPr="002D2AF8" w:rsidP="00ED3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MEM11001 Erect/dismantle scaffolding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31A7" w:rsidP="00ED30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9E" w:rsidRPr="002D2AF8" w:rsidP="00ED3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1A7">
      <w:t>MEM11001 Erect/dismantle scaffolding and equipment</w:t>
    </w:r>
    <w:r w:rsidR="00E531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1A7">
      <w:rPr>
        <w:noProof/>
      </w:rPr>
      <w:t>1 March 2025</w:t>
    </w:r>
    <w:r>
      <w:fldChar w:fldCharType="end"/>
    </w:r>
  </w:p>
  <w:p w:rsidR="00ED309E" w:rsidP="00ED3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B23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6E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26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09E"/>
  </w:style>
  <w:style w:type="character" w:customStyle="1" w:styleId="Heading1Char">
    <w:name w:val="Heading 1 Char"/>
    <w:basedOn w:val="DefaultParagraphFont"/>
    <w:link w:val="Heading1"/>
    <w:rsid w:val="00ED3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0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0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09E"/>
    <w:rPr>
      <w:b/>
      <w:spacing w:val="0"/>
    </w:rPr>
  </w:style>
  <w:style w:type="paragraph" w:styleId="ListBullet2">
    <w:name w:val="List Bullet 2"/>
    <w:basedOn w:val="List2"/>
    <w:rsid w:val="00ED30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309E"/>
    <w:rPr>
      <w:i/>
    </w:rPr>
  </w:style>
  <w:style w:type="paragraph" w:customStyle="1" w:styleId="SuperHeading">
    <w:name w:val="SuperHeading"/>
    <w:basedOn w:val="Normal"/>
    <w:rsid w:val="00ED3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0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0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09E"/>
  </w:style>
  <w:style w:type="paragraph" w:styleId="TableofFigures">
    <w:name w:val="table of figures"/>
    <w:basedOn w:val="Normal"/>
    <w:next w:val="Normal"/>
    <w:semiHidden/>
    <w:rsid w:val="00ED3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0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09E"/>
    <w:rPr>
      <w:rFonts w:ascii="Wingdings" w:hAnsi="Wingdings"/>
    </w:rPr>
  </w:style>
  <w:style w:type="paragraph" w:customStyle="1" w:styleId="TableHeading">
    <w:name w:val="Table Heading"/>
    <w:basedOn w:val="HeadingBase"/>
    <w:rsid w:val="00ED3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09E"/>
    <w:rPr>
      <w:color w:val="0033CC"/>
      <w:u w:val="none"/>
    </w:rPr>
  </w:style>
  <w:style w:type="paragraph" w:customStyle="1" w:styleId="BodyTextRight">
    <w:name w:val="Body Text Right"/>
    <w:basedOn w:val="BodyText"/>
    <w:rsid w:val="00ED3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0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09E"/>
    <w:rPr>
      <w:sz w:val="32"/>
    </w:rPr>
  </w:style>
  <w:style w:type="paragraph" w:customStyle="1" w:styleId="HeadingProcedure">
    <w:name w:val="Heading Procedure"/>
    <w:basedOn w:val="HeadingBase"/>
    <w:next w:val="Normal"/>
    <w:rsid w:val="00ED3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09E"/>
    <w:pPr>
      <w:spacing w:before="60" w:after="60"/>
    </w:pPr>
  </w:style>
  <w:style w:type="paragraph" w:styleId="ListContinue">
    <w:name w:val="List Continue"/>
    <w:basedOn w:val="List"/>
    <w:rsid w:val="00ED309E"/>
    <w:pPr>
      <w:ind w:firstLine="0"/>
    </w:pPr>
  </w:style>
  <w:style w:type="paragraph" w:customStyle="1" w:styleId="ListNote">
    <w:name w:val="List Note"/>
    <w:basedOn w:val="List"/>
    <w:rsid w:val="00ED3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09E"/>
    <w:rPr>
      <w:rFonts w:ascii="Courier New" w:hAnsi="Courier New"/>
    </w:rPr>
  </w:style>
  <w:style w:type="paragraph" w:customStyle="1" w:styleId="NoteBullet">
    <w:name w:val="Note Bullet"/>
    <w:basedOn w:val="Note"/>
    <w:rsid w:val="00ED3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0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09E"/>
    <w:rPr>
      <w:b/>
      <w:smallCaps/>
    </w:rPr>
  </w:style>
  <w:style w:type="paragraph" w:customStyle="1" w:styleId="TableListNumber">
    <w:name w:val="Table List Number"/>
    <w:basedOn w:val="ListNumber"/>
    <w:rsid w:val="00ED3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09E"/>
    <w:pPr>
      <w:numPr>
        <w:numId w:val="9"/>
      </w:numPr>
    </w:pPr>
  </w:style>
  <w:style w:type="paragraph" w:customStyle="1" w:styleId="ListAlpha2">
    <w:name w:val="List Alpha 2"/>
    <w:basedOn w:val="List2"/>
    <w:rsid w:val="00ED309E"/>
    <w:pPr>
      <w:numPr>
        <w:numId w:val="8"/>
      </w:numPr>
    </w:pPr>
  </w:style>
  <w:style w:type="paragraph" w:styleId="List2">
    <w:name w:val="List 2"/>
    <w:basedOn w:val="BodyText"/>
    <w:rsid w:val="00ED3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0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0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09E"/>
    <w:pPr>
      <w:numPr>
        <w:numId w:val="4"/>
      </w:numPr>
    </w:pPr>
  </w:style>
  <w:style w:type="paragraph" w:styleId="ListContinue2">
    <w:name w:val="List Continue 2"/>
    <w:basedOn w:val="List2"/>
    <w:rsid w:val="00ED309E"/>
    <w:pPr>
      <w:ind w:firstLine="0"/>
    </w:pPr>
  </w:style>
  <w:style w:type="paragraph" w:styleId="ListContinue3">
    <w:name w:val="List Continue 3"/>
    <w:basedOn w:val="List3"/>
    <w:rsid w:val="00ED309E"/>
    <w:pPr>
      <w:ind w:left="1021" w:firstLine="0"/>
    </w:pPr>
  </w:style>
  <w:style w:type="paragraph" w:styleId="ListContinue4">
    <w:name w:val="List Continue 4"/>
    <w:basedOn w:val="List4"/>
    <w:rsid w:val="00ED309E"/>
    <w:pPr>
      <w:ind w:firstLine="0"/>
    </w:pPr>
  </w:style>
  <w:style w:type="paragraph" w:styleId="ListContinue5">
    <w:name w:val="List Continue 5"/>
    <w:basedOn w:val="List5"/>
    <w:rsid w:val="00ED309E"/>
    <w:pPr>
      <w:ind w:firstLine="0"/>
    </w:pPr>
  </w:style>
  <w:style w:type="paragraph" w:styleId="ListNumber3">
    <w:name w:val="List Number 3"/>
    <w:basedOn w:val="List3"/>
    <w:rsid w:val="00ED309E"/>
    <w:pPr>
      <w:numPr>
        <w:numId w:val="5"/>
      </w:numPr>
    </w:pPr>
  </w:style>
  <w:style w:type="paragraph" w:styleId="ListNumber4">
    <w:name w:val="List Number 4"/>
    <w:basedOn w:val="List4"/>
    <w:rsid w:val="00ED309E"/>
    <w:pPr>
      <w:numPr>
        <w:numId w:val="6"/>
      </w:numPr>
    </w:pPr>
  </w:style>
  <w:style w:type="paragraph" w:styleId="ListNumber5">
    <w:name w:val="List Number 5"/>
    <w:basedOn w:val="List5"/>
    <w:rsid w:val="00ED309E"/>
    <w:pPr>
      <w:numPr>
        <w:numId w:val="7"/>
      </w:numPr>
    </w:pPr>
  </w:style>
  <w:style w:type="paragraph" w:styleId="BlockText">
    <w:name w:val="Block Text"/>
    <w:basedOn w:val="Normal"/>
    <w:rsid w:val="00ED3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09E"/>
    <w:rPr>
      <w:sz w:val="16"/>
      <w:vertAlign w:val="superscript"/>
    </w:rPr>
  </w:style>
  <w:style w:type="character" w:customStyle="1" w:styleId="Symbols">
    <w:name w:val="Symbols"/>
    <w:basedOn w:val="DefaultParagraphFont"/>
    <w:rsid w:val="00ED309E"/>
    <w:rPr>
      <w:rFonts w:ascii="Symbol" w:hAnsi="Symbol"/>
    </w:rPr>
  </w:style>
  <w:style w:type="character" w:customStyle="1" w:styleId="MenuOptions">
    <w:name w:val="Menu Options"/>
    <w:basedOn w:val="DefaultParagraphFont"/>
    <w:rsid w:val="00ED3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09E"/>
    <w:rPr>
      <w:b/>
    </w:rPr>
  </w:style>
  <w:style w:type="character" w:customStyle="1" w:styleId="Underlined">
    <w:name w:val="Underlined"/>
    <w:basedOn w:val="DefaultParagraphFont"/>
    <w:rsid w:val="00ED309E"/>
    <w:rPr>
      <w:u w:val="single"/>
    </w:rPr>
  </w:style>
  <w:style w:type="paragraph" w:customStyle="1" w:styleId="TableBodyTextRight">
    <w:name w:val="Table Body Text Right"/>
    <w:basedOn w:val="TableBodyText"/>
    <w:rsid w:val="00ED3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09E"/>
    <w:rPr>
      <w:sz w:val="18"/>
    </w:rPr>
  </w:style>
  <w:style w:type="paragraph" w:customStyle="1" w:styleId="BodySmallRight">
    <w:name w:val="Body Small Right"/>
    <w:basedOn w:val="BodyTextRight"/>
    <w:rsid w:val="00ED309E"/>
    <w:rPr>
      <w:sz w:val="18"/>
      <w:szCs w:val="18"/>
    </w:rPr>
  </w:style>
  <w:style w:type="paragraph" w:customStyle="1" w:styleId="MarginEdition">
    <w:name w:val="Margin Edition"/>
    <w:basedOn w:val="MarginNote"/>
    <w:rsid w:val="00ED3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09E"/>
    <w:rPr>
      <w:sz w:val="2"/>
      <w:szCs w:val="2"/>
    </w:rPr>
  </w:style>
  <w:style w:type="character" w:customStyle="1" w:styleId="Small">
    <w:name w:val="Small"/>
    <w:basedOn w:val="DefaultParagraphFont"/>
    <w:rsid w:val="00ED309E"/>
    <w:rPr>
      <w:sz w:val="16"/>
    </w:rPr>
  </w:style>
  <w:style w:type="paragraph" w:customStyle="1" w:styleId="WideTable">
    <w:name w:val="Wide Table"/>
    <w:basedOn w:val="Normal"/>
    <w:rsid w:val="00ED3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09E"/>
  </w:style>
  <w:style w:type="paragraph" w:styleId="Quote">
    <w:name w:val="Quote"/>
    <w:basedOn w:val="Heading1"/>
    <w:link w:val="QuoteChar"/>
    <w:qFormat/>
    <w:rsid w:val="00ED3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09E"/>
    <w:pPr>
      <w:pageBreakBefore/>
    </w:pPr>
  </w:style>
  <w:style w:type="paragraph" w:customStyle="1" w:styleId="Border">
    <w:name w:val="Border"/>
    <w:basedOn w:val="Normal"/>
    <w:qFormat/>
    <w:rsid w:val="00ED3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09E"/>
    <w:rPr>
      <w:u w:val="single"/>
    </w:rPr>
  </w:style>
  <w:style w:type="character" w:customStyle="1" w:styleId="BoldandItalics">
    <w:name w:val="Bold and Italics"/>
    <w:qFormat/>
    <w:rsid w:val="00ED309E"/>
    <w:rPr>
      <w:b/>
      <w:i/>
      <w:u w:val="none"/>
    </w:rPr>
  </w:style>
  <w:style w:type="paragraph" w:styleId="BalloonText">
    <w:name w:val="Balloon Text"/>
    <w:basedOn w:val="Normal"/>
    <w:link w:val="BalloonTextChar"/>
    <w:rsid w:val="00ED3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09E"/>
    <w:pPr>
      <w:spacing w:before="0" w:after="0"/>
    </w:pPr>
  </w:style>
  <w:style w:type="paragraph" w:customStyle="1" w:styleId="BodyTextBold">
    <w:name w:val="Body Text Bold"/>
    <w:basedOn w:val="BodyText"/>
    <w:qFormat/>
    <w:rsid w:val="00ED309E"/>
    <w:rPr>
      <w:b/>
    </w:rPr>
  </w:style>
  <w:style w:type="character" w:styleId="Hyperlink">
    <w:name w:val="Hyperlink"/>
    <w:basedOn w:val="DefaultParagraphFont"/>
    <w:uiPriority w:val="99"/>
    <w:unhideWhenUsed/>
    <w:rsid w:val="00E53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1188</Words>
  <Characters>7962</Characters>
  <Application>Microsoft Office Word</Application>
  <DocSecurity>0</DocSecurity>
  <Lines>306</Lines>
  <Paragraphs>182</Paragraphs>
  <ScaleCrop>false</ScaleCrop>
  <Company>Author-it Software Corporation Ltd.</Company>
  <LinksUpToDate>false</LinksUpToDate>
  <CharactersWithSpaces>8968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MEM11001 Erect/dismantle scaffolding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