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4D7B" w:rsidP="005B4D7B">
      <w:pPr>
        <w:pStyle w:val="Title"/>
      </w:pPr>
      <w:r>
        <w:fldChar w:fldCharType="begin"/>
      </w:r>
      <w:r>
        <w:instrText xml:space="preserve"> TITLE   \* MERGEFORMAT </w:instrText>
      </w:r>
      <w:r>
        <w:fldChar w:fldCharType="separate"/>
      </w:r>
      <w:r>
        <w:t>MEM10024 Install and troubleshoot luminaires and ancillary equipment</w:t>
      </w:r>
      <w:r>
        <w:fldChar w:fldCharType="end"/>
      </w:r>
    </w:p>
    <w:p w:rsidR="005B4D7B" w:rsidP="005B4D7B">
      <w:pPr>
        <w:pStyle w:val="Version"/>
        <w:sectPr w:rsidSect="00C01B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01B18" w:rsidP="00C01B18">
      <w:pPr>
        <w:pStyle w:val="SuperHeading"/>
      </w:pPr>
      <w:r w:rsidRPr="00C01B18">
        <w:t>MEM10024 Install and troubleshoot luminaires and ancillary equipment</w:t>
      </w:r>
    </w:p>
    <w:p w:rsidR="00000000" w:rsidRPr="00C01B18" w:rsidP="00C01B18">
      <w:pPr>
        <w:pStyle w:val="Heading1"/>
      </w:pPr>
      <w:bookmarkStart w:id="1" w:name="O_968704"/>
      <w:bookmarkEnd w:id="1"/>
      <w:r w:rsidRPr="00C01B18">
        <w:t>Modification History</w:t>
      </w:r>
    </w:p>
    <w:p w:rsidR="00000000" w:rsidRPr="00C01B18" w:rsidP="005B4D7B">
      <w:pPr>
        <w:pStyle w:val="Heading3"/>
      </w:pPr>
      <w:r w:rsidRPr="00C01B18">
        <w:t>Release 3. Prerequisite units updated</w:t>
      </w:r>
    </w:p>
    <w:p w:rsidR="00000000" w:rsidRPr="00C01B18" w:rsidP="005B4D7B">
      <w:pPr>
        <w:pStyle w:val="BodyText"/>
      </w:pPr>
      <w:r w:rsidRPr="00C01B18">
        <w:t>Release 2. Minor adjustments to reflect ERAC requirements for electrician licensing and revision of Essential Performance Capabilities</w:t>
      </w:r>
    </w:p>
    <w:p w:rsidR="00000000" w:rsidRPr="00C01B18" w:rsidP="005B4D7B">
      <w:pPr>
        <w:pStyle w:val="BodyText"/>
      </w:pPr>
      <w:r w:rsidRPr="00C01B18">
        <w:t>Release 1. New unit</w:t>
      </w:r>
    </w:p>
    <w:p w:rsidR="00000000" w:rsidRPr="00C01B18" w:rsidP="00C01B18">
      <w:pPr>
        <w:pStyle w:val="Heading1"/>
      </w:pPr>
      <w:bookmarkStart w:id="2" w:name="O_968703"/>
      <w:bookmarkEnd w:id="2"/>
      <w:r w:rsidRPr="00C01B18">
        <w:t>Application</w:t>
      </w:r>
    </w:p>
    <w:p w:rsidR="00000000" w:rsidRPr="00C01B18" w:rsidP="005B4D7B">
      <w:pPr>
        <w:pStyle w:val="BodyText"/>
      </w:pPr>
      <w:r w:rsidRPr="00C01B18">
        <w:t xml:space="preserve">This unit of competency has been developed for Engineering Tradesperson </w:t>
      </w:r>
      <w:r w:rsidRPr="00C01B18">
        <w:t xml:space="preserve">– industrial electrician apprenticeship training and the recognition of trade-level skills in installing and troubleshooting luminaires and ancillary equipment in accordance with the relevant standards. </w:t>
      </w:r>
    </w:p>
    <w:p w:rsidR="00000000" w:rsidRPr="00C01B18" w:rsidP="005B4D7B">
      <w:pPr>
        <w:pStyle w:val="BodyText"/>
      </w:pPr>
      <w:r w:rsidRPr="00C01B18">
        <w:t>It covers a basic understanding of the various types</w:t>
      </w:r>
      <w:r w:rsidRPr="00C01B18">
        <w:t xml:space="preserve"> of faults, luminaires and the purpose components and ancillary equipment for operating voltages up to 1000 V alternating current (AC) or 1500 V direct current (DC) and related hazard and safety requirements.</w:t>
      </w:r>
    </w:p>
    <w:p w:rsidR="00000000" w:rsidRPr="00C01B18" w:rsidP="005B4D7B">
      <w:pPr>
        <w:pStyle w:val="BodyText"/>
      </w:pPr>
      <w:r w:rsidRPr="00C01B18">
        <w:t>This unit covers the skills and knowledge requi</w:t>
      </w:r>
      <w:r w:rsidRPr="00C01B18">
        <w:t>red to meet the Electrical Regulatory Authorities Council (ERAC).</w:t>
      </w:r>
    </w:p>
    <w:p w:rsidR="00000000" w:rsidRPr="00C01B18" w:rsidP="005B4D7B">
      <w:pPr>
        <w:pStyle w:val="BodyText"/>
      </w:pPr>
      <w:r w:rsidRPr="00C01B18">
        <w:t>Essential Performance Capability (EPC):</w:t>
      </w:r>
    </w:p>
    <w:p w:rsidR="00000000" w:rsidRPr="00C01B18" w:rsidP="00C01B18">
      <w:pPr>
        <w:pStyle w:val="ListBullet"/>
      </w:pPr>
      <w:r w:rsidRPr="00C01B18">
        <w:t>EPC 53 – Demonstrate an understanding of the basic operation and energy efficiency of the various types of luminaires and the purpose of components a</w:t>
      </w:r>
      <w:r w:rsidRPr="00C01B18">
        <w:t>nd ancillary equipment including related hazards and their safety requirements.</w:t>
      </w:r>
    </w:p>
    <w:p w:rsidR="00000000" w:rsidRPr="00C01B18" w:rsidP="005B4D7B">
      <w:pPr>
        <w:pStyle w:val="BodyText"/>
      </w:pPr>
      <w:r w:rsidRPr="00C01B18">
        <w:t>Some jurisdictions require the holder of this unit to be licensed or certified and users should check with the relevant authorities.</w:t>
      </w:r>
    </w:p>
    <w:p w:rsidR="00000000" w:rsidRPr="00C01B18" w:rsidP="00C01B18">
      <w:pPr>
        <w:pStyle w:val="BodyText"/>
      </w:pPr>
      <w:r w:rsidRPr="00C01B18">
        <w:rPr>
          <w:rStyle w:val="SpecialBold"/>
        </w:rPr>
        <w:t>Band:</w:t>
      </w:r>
      <w:r w:rsidRPr="00C01B18">
        <w:rPr>
          <w:rStyle w:val="SpecialBold"/>
        </w:rPr>
        <w:tab/>
        <w:t>A</w:t>
      </w:r>
    </w:p>
    <w:p w:rsidR="00000000" w:rsidRPr="00C01B18" w:rsidP="00C01B18">
      <w:pPr>
        <w:pStyle w:val="BodyText"/>
      </w:pPr>
      <w:r w:rsidRPr="00C01B18">
        <w:rPr>
          <w:rStyle w:val="SpecialBold"/>
        </w:rPr>
        <w:t>Unit Weight:</w:t>
      </w:r>
      <w:r w:rsidRPr="00C01B18">
        <w:rPr>
          <w:rStyle w:val="SpecialBold"/>
        </w:rPr>
        <w:tab/>
        <w:t>2</w:t>
      </w:r>
    </w:p>
    <w:p w:rsidR="00000000" w:rsidRPr="00C01B18" w:rsidP="00C01B18">
      <w:pPr>
        <w:pStyle w:val="AllowPageBreak"/>
      </w:pPr>
    </w:p>
    <w:p w:rsidR="00000000" w:rsidRPr="00C01B18" w:rsidP="00C01B18">
      <w:pPr>
        <w:pStyle w:val="Heading1"/>
      </w:pPr>
      <w:bookmarkStart w:id="3" w:name="O_968702"/>
      <w:bookmarkEnd w:id="3"/>
      <w:r w:rsidRPr="00C01B18">
        <w:t>Pre</w:t>
      </w:r>
      <w:r w:rsidRPr="00C01B18">
        <w:t>-requisite Unit</w:t>
      </w:r>
    </w:p>
    <w:tbl>
      <w:tblPr>
        <w:tblW w:w="0" w:type="auto"/>
        <w:tblLayout w:type="fixed"/>
        <w:tblCellMar>
          <w:left w:w="62" w:type="dxa"/>
          <w:right w:w="62" w:type="dxa"/>
        </w:tblCellMar>
        <w:tblLook w:val="0000"/>
      </w:tblPr>
      <w:tblGrid>
        <w:gridCol w:w="2097"/>
        <w:gridCol w:w="6249"/>
      </w:tblGrid>
      <w:tr w:rsidTr="00C01B18">
        <w:tblPrEx>
          <w:tblW w:w="0" w:type="auto"/>
          <w:tblLayout w:type="fixed"/>
          <w:tblCellMar>
            <w:left w:w="62" w:type="dxa"/>
            <w:right w:w="62" w:type="dxa"/>
          </w:tblCellMar>
          <w:tblLook w:val="0000"/>
        </w:tblPrEx>
        <w:tc>
          <w:tcPr>
            <w:tcW w:w="2097" w:type="dxa"/>
            <w:tcBorders>
              <w:top w:val="nil"/>
              <w:left w:val="nil"/>
              <w:bottom w:val="nil"/>
              <w:right w:val="nil"/>
            </w:tcBorders>
            <w:tcMar>
              <w:top w:w="0" w:type="dxa"/>
              <w:left w:w="62" w:type="dxa"/>
              <w:bottom w:w="0" w:type="dxa"/>
              <w:right w:w="62" w:type="dxa"/>
            </w:tcMar>
          </w:tcPr>
          <w:p w:rsidR="00000000" w:rsidP="00C01B18">
            <w:pPr>
              <w:pStyle w:val="BodyText"/>
              <w:rPr>
                <w:lang w:val="en-NZ"/>
              </w:rPr>
            </w:pPr>
            <w:r w:rsidRPr="00C01B18">
              <w:t>MEM10016</w:t>
            </w:r>
          </w:p>
        </w:tc>
        <w:tc>
          <w:tcPr>
            <w:tcW w:w="6249" w:type="dxa"/>
            <w:tcBorders>
              <w:top w:val="nil"/>
              <w:left w:val="nil"/>
              <w:bottom w:val="nil"/>
              <w:right w:val="nil"/>
            </w:tcBorders>
            <w:tcMar>
              <w:top w:w="0" w:type="dxa"/>
              <w:left w:w="62" w:type="dxa"/>
              <w:bottom w:w="0" w:type="dxa"/>
              <w:right w:w="62" w:type="dxa"/>
            </w:tcMar>
          </w:tcPr>
          <w:p w:rsidR="00000000" w:rsidP="00C01B18">
            <w:pPr>
              <w:pStyle w:val="BodyText"/>
              <w:rPr>
                <w:lang w:val="en-NZ"/>
              </w:rPr>
            </w:pPr>
            <w:r w:rsidRPr="00C01B18">
              <w:t>Terminate and test electrical wiring and accessories</w:t>
            </w:r>
          </w:p>
        </w:tc>
      </w:tr>
      <w:tr w:rsidTr="00C01B18">
        <w:tblPrEx>
          <w:tblW w:w="0" w:type="auto"/>
          <w:tblLayout w:type="fixed"/>
          <w:tblCellMar>
            <w:left w:w="62" w:type="dxa"/>
            <w:right w:w="62" w:type="dxa"/>
          </w:tblCellMar>
          <w:tblLook w:val="0000"/>
        </w:tblPrEx>
        <w:tc>
          <w:tcPr>
            <w:tcW w:w="2097" w:type="dxa"/>
            <w:tcBorders>
              <w:top w:val="nil"/>
              <w:left w:val="nil"/>
              <w:bottom w:val="nil"/>
              <w:right w:val="nil"/>
            </w:tcBorders>
            <w:tcMar>
              <w:top w:w="0" w:type="dxa"/>
              <w:left w:w="62" w:type="dxa"/>
              <w:bottom w:w="0" w:type="dxa"/>
              <w:right w:w="62" w:type="dxa"/>
            </w:tcMar>
          </w:tcPr>
          <w:p w:rsidR="00000000" w:rsidP="00C01B18">
            <w:pPr>
              <w:pStyle w:val="BodyText"/>
              <w:rPr>
                <w:lang w:val="en-NZ"/>
              </w:rPr>
            </w:pPr>
            <w:r w:rsidRPr="00C01B18">
              <w:t>MEM10018</w:t>
            </w:r>
          </w:p>
        </w:tc>
        <w:tc>
          <w:tcPr>
            <w:tcW w:w="6249" w:type="dxa"/>
            <w:tcBorders>
              <w:top w:val="nil"/>
              <w:left w:val="nil"/>
              <w:bottom w:val="nil"/>
              <w:right w:val="nil"/>
            </w:tcBorders>
            <w:tcMar>
              <w:top w:w="0" w:type="dxa"/>
              <w:left w:w="62" w:type="dxa"/>
              <w:bottom w:w="0" w:type="dxa"/>
              <w:right w:w="62" w:type="dxa"/>
            </w:tcMar>
          </w:tcPr>
          <w:p w:rsidR="00000000" w:rsidP="00C01B18">
            <w:pPr>
              <w:pStyle w:val="BodyText"/>
              <w:rPr>
                <w:lang w:val="en-NZ"/>
              </w:rPr>
            </w:pPr>
            <w:r w:rsidRPr="00C01B18">
              <w:t>Select cable types and sizes to suit loads and electrical installation environment</w:t>
            </w:r>
          </w:p>
        </w:tc>
      </w:tr>
      <w:tr w:rsidTr="00C01B18">
        <w:tblPrEx>
          <w:tblW w:w="0" w:type="auto"/>
          <w:tblLayout w:type="fixed"/>
          <w:tblCellMar>
            <w:left w:w="62" w:type="dxa"/>
            <w:right w:w="62" w:type="dxa"/>
          </w:tblCellMar>
          <w:tblLook w:val="0000"/>
        </w:tblPrEx>
        <w:tc>
          <w:tcPr>
            <w:tcW w:w="2097" w:type="dxa"/>
            <w:tcBorders>
              <w:top w:val="nil"/>
              <w:left w:val="nil"/>
              <w:bottom w:val="nil"/>
              <w:right w:val="nil"/>
            </w:tcBorders>
            <w:tcMar>
              <w:top w:w="0" w:type="dxa"/>
              <w:left w:w="62" w:type="dxa"/>
              <w:bottom w:w="0" w:type="dxa"/>
              <w:right w:w="62" w:type="dxa"/>
            </w:tcMar>
          </w:tcPr>
          <w:p w:rsidR="00000000" w:rsidP="00C01B18">
            <w:pPr>
              <w:pStyle w:val="BodyText"/>
              <w:rPr>
                <w:lang w:val="en-NZ"/>
              </w:rPr>
            </w:pPr>
            <w:r w:rsidRPr="00C01B18">
              <w:t>MEM10019</w:t>
            </w:r>
          </w:p>
        </w:tc>
        <w:tc>
          <w:tcPr>
            <w:tcW w:w="6249" w:type="dxa"/>
            <w:tcBorders>
              <w:top w:val="nil"/>
              <w:left w:val="nil"/>
              <w:bottom w:val="nil"/>
              <w:right w:val="nil"/>
            </w:tcBorders>
            <w:tcMar>
              <w:top w:w="0" w:type="dxa"/>
              <w:left w:w="62" w:type="dxa"/>
              <w:bottom w:w="0" w:type="dxa"/>
              <w:right w:w="62" w:type="dxa"/>
            </w:tcMar>
          </w:tcPr>
          <w:p w:rsidR="00000000" w:rsidP="00C01B18">
            <w:pPr>
              <w:pStyle w:val="BodyText"/>
              <w:rPr>
                <w:lang w:val="en-NZ"/>
              </w:rPr>
            </w:pPr>
            <w:r w:rsidRPr="00C01B18">
              <w:t>Select circuit protection devices by type and rating, fit to switchboards and install earthing</w:t>
            </w:r>
          </w:p>
        </w:tc>
      </w:tr>
      <w:tr w:rsidTr="00C01B18">
        <w:tblPrEx>
          <w:tblW w:w="0" w:type="auto"/>
          <w:tblLayout w:type="fixed"/>
          <w:tblCellMar>
            <w:left w:w="62" w:type="dxa"/>
            <w:right w:w="62" w:type="dxa"/>
          </w:tblCellMar>
          <w:tblLook w:val="0000"/>
        </w:tblPrEx>
        <w:tc>
          <w:tcPr>
            <w:tcW w:w="2097" w:type="dxa"/>
            <w:tcBorders>
              <w:top w:val="nil"/>
              <w:left w:val="nil"/>
              <w:bottom w:val="nil"/>
              <w:right w:val="nil"/>
            </w:tcBorders>
            <w:tcMar>
              <w:top w:w="0" w:type="dxa"/>
              <w:left w:w="62" w:type="dxa"/>
              <w:bottom w:w="0" w:type="dxa"/>
              <w:right w:w="62" w:type="dxa"/>
            </w:tcMar>
          </w:tcPr>
          <w:p w:rsidR="00000000" w:rsidP="00C01B18">
            <w:pPr>
              <w:pStyle w:val="BodyText"/>
              <w:rPr>
                <w:lang w:val="en-NZ"/>
              </w:rPr>
            </w:pPr>
            <w:r w:rsidRPr="00C01B18">
              <w:t>MEM10023</w:t>
            </w:r>
          </w:p>
        </w:tc>
        <w:tc>
          <w:tcPr>
            <w:tcW w:w="6249" w:type="dxa"/>
            <w:tcBorders>
              <w:top w:val="nil"/>
              <w:left w:val="nil"/>
              <w:bottom w:val="nil"/>
              <w:right w:val="nil"/>
            </w:tcBorders>
            <w:tcMar>
              <w:top w:w="0" w:type="dxa"/>
              <w:left w:w="62" w:type="dxa"/>
              <w:bottom w:w="0" w:type="dxa"/>
              <w:right w:w="62" w:type="dxa"/>
            </w:tcMar>
          </w:tcPr>
          <w:p w:rsidR="00000000" w:rsidP="00C01B18">
            <w:pPr>
              <w:pStyle w:val="BodyText"/>
              <w:rPr>
                <w:lang w:val="en-NZ"/>
              </w:rPr>
            </w:pPr>
            <w:r w:rsidRPr="00C01B18">
              <w:t>Design and connect control switching of circuits for building services and industrial equipment</w:t>
            </w:r>
          </w:p>
        </w:tc>
      </w:tr>
      <w:tr w:rsidTr="00C01B18">
        <w:tblPrEx>
          <w:tblW w:w="0" w:type="auto"/>
          <w:tblLayout w:type="fixed"/>
          <w:tblCellMar>
            <w:left w:w="62" w:type="dxa"/>
            <w:right w:w="62" w:type="dxa"/>
          </w:tblCellMar>
          <w:tblLook w:val="0000"/>
        </w:tblPrEx>
        <w:tc>
          <w:tcPr>
            <w:tcW w:w="2097" w:type="dxa"/>
            <w:tcBorders>
              <w:top w:val="nil"/>
              <w:left w:val="nil"/>
              <w:bottom w:val="nil"/>
              <w:right w:val="nil"/>
            </w:tcBorders>
            <w:tcMar>
              <w:top w:w="0" w:type="dxa"/>
              <w:left w:w="62" w:type="dxa"/>
              <w:bottom w:w="0" w:type="dxa"/>
              <w:right w:w="62" w:type="dxa"/>
            </w:tcMar>
          </w:tcPr>
          <w:p w:rsidR="00000000" w:rsidP="00C01B18">
            <w:pPr>
              <w:pStyle w:val="BodyText"/>
              <w:rPr>
                <w:lang w:val="en-NZ"/>
              </w:rPr>
            </w:pPr>
            <w:r w:rsidRPr="00C01B18">
              <w:t>MEM18001</w:t>
            </w:r>
          </w:p>
        </w:tc>
        <w:tc>
          <w:tcPr>
            <w:tcW w:w="6249" w:type="dxa"/>
            <w:tcBorders>
              <w:top w:val="nil"/>
              <w:left w:val="nil"/>
              <w:bottom w:val="nil"/>
              <w:right w:val="nil"/>
            </w:tcBorders>
            <w:tcMar>
              <w:top w:w="0" w:type="dxa"/>
              <w:left w:w="62" w:type="dxa"/>
              <w:bottom w:w="0" w:type="dxa"/>
              <w:right w:w="62" w:type="dxa"/>
            </w:tcMar>
          </w:tcPr>
          <w:p w:rsidR="00000000" w:rsidRPr="00C01B18" w:rsidP="00C01B18">
            <w:pPr>
              <w:pStyle w:val="BodyText"/>
            </w:pPr>
            <w:r w:rsidRPr="00C01B18">
              <w:t>Use hand tools</w:t>
            </w:r>
          </w:p>
        </w:tc>
      </w:tr>
    </w:tbl>
    <w:p w:rsidR="00000000" w:rsidRPr="00C01B18" w:rsidP="00C01B18">
      <w:pPr>
        <w:pStyle w:val="BodyText"/>
      </w:pPr>
    </w:p>
    <w:p w:rsidR="00000000" w:rsidRPr="00C01B18" w:rsidP="00C01B18">
      <w:pPr>
        <w:pStyle w:val="AllowPageBreak"/>
      </w:pPr>
    </w:p>
    <w:p w:rsidR="00000000" w:rsidRPr="00C01B18" w:rsidP="00C01B18">
      <w:pPr>
        <w:pStyle w:val="Heading1"/>
      </w:pPr>
      <w:bookmarkStart w:id="4" w:name="O_968701"/>
      <w:bookmarkEnd w:id="4"/>
      <w:r w:rsidRPr="00C01B18">
        <w:t xml:space="preserve">Competency </w:t>
      </w:r>
      <w:r w:rsidRPr="00C01B18">
        <w:t>Field</w:t>
      </w:r>
    </w:p>
    <w:p w:rsidR="00000000" w:rsidRPr="00C01B18" w:rsidP="005B4D7B">
      <w:pPr>
        <w:pStyle w:val="BodyText"/>
      </w:pPr>
      <w:r w:rsidRPr="00C01B18">
        <w:t>Installation and commissioning</w:t>
      </w:r>
    </w:p>
    <w:p w:rsidR="00000000" w:rsidRPr="00C01B18" w:rsidP="00C01B18">
      <w:pPr>
        <w:pStyle w:val="Heading1"/>
      </w:pPr>
      <w:bookmarkStart w:id="5" w:name="O_968699"/>
      <w:bookmarkEnd w:id="5"/>
      <w:r w:rsidRPr="00C01B18">
        <w:t>Elements and Performance Criteria</w:t>
      </w:r>
    </w:p>
    <w:tbl>
      <w:tblPr>
        <w:tblW w:w="0" w:type="auto"/>
        <w:tblLayout w:type="fixed"/>
        <w:tblCellMar>
          <w:left w:w="62" w:type="dxa"/>
          <w:right w:w="62" w:type="dxa"/>
        </w:tblCellMar>
        <w:tblLook w:val="0000"/>
      </w:tblPr>
      <w:tblGrid>
        <w:gridCol w:w="546"/>
        <w:gridCol w:w="2125"/>
        <w:gridCol w:w="779"/>
        <w:gridCol w:w="5678"/>
      </w:tblGrid>
      <w:tr w:rsidTr="00C01B18">
        <w:tblPrEx>
          <w:tblW w:w="0" w:type="auto"/>
          <w:tblLayout w:type="fixed"/>
          <w:tblCellMar>
            <w:left w:w="62" w:type="dxa"/>
            <w:right w:w="62" w:type="dxa"/>
          </w:tblCellMar>
          <w:tblLook w:val="0000"/>
        </w:tblPrEx>
        <w:trPr>
          <w:tblHeader/>
        </w:trPr>
        <w:tc>
          <w:tcPr>
            <w:tcW w:w="2671" w:type="dxa"/>
            <w:gridSpan w:val="2"/>
            <w:tcBorders>
              <w:top w:val="nil"/>
              <w:left w:val="nil"/>
              <w:bottom w:val="nil"/>
              <w:right w:val="nil"/>
            </w:tcBorders>
            <w:tcMar>
              <w:top w:w="0" w:type="dxa"/>
              <w:left w:w="62" w:type="dxa"/>
              <w:bottom w:w="0" w:type="dxa"/>
              <w:right w:w="62" w:type="dxa"/>
            </w:tcMar>
          </w:tcPr>
          <w:p w:rsidR="00000000" w:rsidP="00C01B18">
            <w:pPr>
              <w:pStyle w:val="BodyText"/>
              <w:rPr>
                <w:lang w:val="en-NZ"/>
              </w:rPr>
            </w:pPr>
            <w:r w:rsidRPr="00C01B18">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C01B18">
            <w:pPr>
              <w:pStyle w:val="BodyText"/>
              <w:rPr>
                <w:lang w:val="en-NZ"/>
              </w:rPr>
            </w:pPr>
            <w:r w:rsidRPr="00C01B18">
              <w:t>Performance criteria describe the performance needed to demonstrate achievement of the element.</w:t>
            </w:r>
          </w:p>
        </w:tc>
      </w:tr>
      <w:tr w:rsidTr="00C01B18">
        <w:tblPrEx>
          <w:tblW w:w="0" w:type="auto"/>
          <w:tblLayout w:type="fixed"/>
          <w:tblCellMar>
            <w:left w:w="62" w:type="dxa"/>
            <w:right w:w="62" w:type="dxa"/>
          </w:tblCellMar>
          <w:tblLook w:val="0000"/>
        </w:tblPrEx>
        <w:tc>
          <w:tcPr>
            <w:tcW w:w="546" w:type="dxa"/>
            <w:vMerge w:val="restart"/>
            <w:tcBorders>
              <w:top w:val="nil"/>
              <w:left w:val="nil"/>
              <w:bottom w:val="nil"/>
              <w:right w:val="nil"/>
            </w:tcBorders>
            <w:tcMar>
              <w:top w:w="0" w:type="dxa"/>
              <w:left w:w="62" w:type="dxa"/>
              <w:bottom w:w="0" w:type="dxa"/>
              <w:right w:w="62" w:type="dxa"/>
            </w:tcMar>
          </w:tcPr>
          <w:p w:rsidR="00000000" w:rsidP="00C01B18">
            <w:pPr>
              <w:pStyle w:val="BodyText"/>
              <w:rPr>
                <w:lang w:val="en-NZ"/>
              </w:rPr>
            </w:pPr>
            <w:r w:rsidRPr="00C01B18">
              <w:t>1.</w:t>
            </w:r>
          </w:p>
        </w:tc>
        <w:tc>
          <w:tcPr>
            <w:tcW w:w="2125" w:type="dxa"/>
            <w:vMerge w:val="restart"/>
            <w:tcBorders>
              <w:top w:val="nil"/>
              <w:left w:val="nil"/>
              <w:bottom w:val="nil"/>
              <w:right w:val="nil"/>
            </w:tcBorders>
            <w:tcMar>
              <w:top w:w="0" w:type="dxa"/>
              <w:left w:w="62" w:type="dxa"/>
              <w:bottom w:w="0" w:type="dxa"/>
              <w:right w:w="62" w:type="dxa"/>
            </w:tcMar>
          </w:tcPr>
          <w:p w:rsidR="00000000" w:rsidP="00C01B18">
            <w:pPr>
              <w:pStyle w:val="BodyText"/>
              <w:rPr>
                <w:lang w:val="en-NZ"/>
              </w:rPr>
            </w:pPr>
            <w:r w:rsidRPr="00C01B18">
              <w:t>Determine job requirements</w:t>
            </w:r>
          </w:p>
        </w:tc>
        <w:tc>
          <w:tcPr>
            <w:tcW w:w="779" w:type="dxa"/>
            <w:tcBorders>
              <w:top w:val="nil"/>
              <w:left w:val="nil"/>
              <w:bottom w:val="nil"/>
              <w:right w:val="nil"/>
            </w:tcBorders>
            <w:tcMar>
              <w:top w:w="0" w:type="dxa"/>
              <w:left w:w="62" w:type="dxa"/>
              <w:bottom w:w="0" w:type="dxa"/>
              <w:right w:w="62" w:type="dxa"/>
            </w:tcMar>
          </w:tcPr>
          <w:p w:rsidR="00000000" w:rsidP="00C01B18">
            <w:pPr>
              <w:pStyle w:val="BodyText"/>
              <w:rPr>
                <w:lang w:val="en-NZ"/>
              </w:rPr>
            </w:pPr>
            <w:r w:rsidRPr="00C01B18">
              <w:t>1.1.</w:t>
            </w:r>
          </w:p>
        </w:tc>
        <w:tc>
          <w:tcPr>
            <w:tcW w:w="5678" w:type="dxa"/>
            <w:tcBorders>
              <w:top w:val="nil"/>
              <w:left w:val="nil"/>
              <w:bottom w:val="nil"/>
              <w:right w:val="nil"/>
            </w:tcBorders>
            <w:tcMar>
              <w:top w:w="0" w:type="dxa"/>
              <w:left w:w="62" w:type="dxa"/>
              <w:bottom w:w="0" w:type="dxa"/>
              <w:right w:w="62" w:type="dxa"/>
            </w:tcMar>
          </w:tcPr>
          <w:p w:rsidR="00000000" w:rsidP="00C01B18">
            <w:pPr>
              <w:pStyle w:val="BodyText"/>
              <w:rPr>
                <w:lang w:val="en-NZ"/>
              </w:rPr>
            </w:pPr>
            <w:r w:rsidRPr="00C01B18">
              <w:t>Follow standard operating procedures (SOPs)</w:t>
            </w:r>
          </w:p>
        </w:tc>
      </w:tr>
      <w:tr w:rsidTr="00C01B18">
        <w:tblPrEx>
          <w:tblW w:w="0" w:type="auto"/>
          <w:tblLayout w:type="fixed"/>
          <w:tblCellMar>
            <w:left w:w="62" w:type="dxa"/>
            <w:right w:w="62" w:type="dxa"/>
          </w:tblCellMar>
          <w:tblLook w:val="0000"/>
        </w:tblPrEx>
        <w:tc>
          <w:tcPr>
            <w:tcW w:w="54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01B18">
            <w:pPr>
              <w:pStyle w:val="BodyText"/>
              <w:rPr>
                <w:lang w:val="en-NZ"/>
              </w:rPr>
            </w:pPr>
            <w:r w:rsidRPr="00C01B18">
              <w:t>1.2.</w:t>
            </w:r>
          </w:p>
        </w:tc>
        <w:tc>
          <w:tcPr>
            <w:tcW w:w="5678" w:type="dxa"/>
            <w:tcBorders>
              <w:top w:val="nil"/>
              <w:left w:val="nil"/>
              <w:bottom w:val="nil"/>
              <w:right w:val="nil"/>
            </w:tcBorders>
            <w:tcMar>
              <w:top w:w="0" w:type="dxa"/>
              <w:left w:w="62" w:type="dxa"/>
              <w:bottom w:w="0" w:type="dxa"/>
              <w:right w:w="62" w:type="dxa"/>
            </w:tcMar>
          </w:tcPr>
          <w:p w:rsidR="00000000" w:rsidP="00C01B18">
            <w:pPr>
              <w:pStyle w:val="BodyText"/>
              <w:rPr>
                <w:lang w:val="en-NZ"/>
              </w:rPr>
            </w:pPr>
            <w:r w:rsidRPr="00C01B18">
              <w:t>Comply with work health and safety (WHS) requirements at all times, including appropriate risk control measures</w:t>
            </w:r>
          </w:p>
        </w:tc>
      </w:tr>
      <w:tr w:rsidTr="00C01B18">
        <w:tblPrEx>
          <w:tblW w:w="0" w:type="auto"/>
          <w:tblLayout w:type="fixed"/>
          <w:tblCellMar>
            <w:left w:w="62" w:type="dxa"/>
            <w:right w:w="62" w:type="dxa"/>
          </w:tblCellMar>
          <w:tblLook w:val="0000"/>
        </w:tblPrEx>
        <w:tc>
          <w:tcPr>
            <w:tcW w:w="54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01B18">
            <w:pPr>
              <w:pStyle w:val="BodyText"/>
              <w:rPr>
                <w:lang w:val="en-NZ"/>
              </w:rPr>
            </w:pPr>
            <w:r w:rsidRPr="00C01B18">
              <w:t>1.3.</w:t>
            </w:r>
          </w:p>
        </w:tc>
        <w:tc>
          <w:tcPr>
            <w:tcW w:w="5678" w:type="dxa"/>
            <w:tcBorders>
              <w:top w:val="nil"/>
              <w:left w:val="nil"/>
              <w:bottom w:val="nil"/>
              <w:right w:val="nil"/>
            </w:tcBorders>
            <w:tcMar>
              <w:top w:w="0" w:type="dxa"/>
              <w:left w:w="62" w:type="dxa"/>
              <w:bottom w:w="0" w:type="dxa"/>
              <w:right w:w="62" w:type="dxa"/>
            </w:tcMar>
          </w:tcPr>
          <w:p w:rsidR="00000000" w:rsidP="00C01B18">
            <w:pPr>
              <w:pStyle w:val="BodyText"/>
              <w:rPr>
                <w:lang w:val="en-NZ"/>
              </w:rPr>
            </w:pPr>
            <w:r w:rsidRPr="00C01B18">
              <w:t>Use appropriate personal protective equipment (PPE) in accordance with SOPs</w:t>
            </w:r>
          </w:p>
        </w:tc>
      </w:tr>
      <w:tr w:rsidTr="00C01B18">
        <w:tblPrEx>
          <w:tblW w:w="0" w:type="auto"/>
          <w:tblLayout w:type="fixed"/>
          <w:tblCellMar>
            <w:left w:w="62" w:type="dxa"/>
            <w:right w:w="62" w:type="dxa"/>
          </w:tblCellMar>
          <w:tblLook w:val="0000"/>
        </w:tblPrEx>
        <w:tc>
          <w:tcPr>
            <w:tcW w:w="54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01B18">
            <w:pPr>
              <w:pStyle w:val="BodyText"/>
              <w:rPr>
                <w:lang w:val="en-NZ"/>
              </w:rPr>
            </w:pPr>
            <w:r w:rsidRPr="00C01B18">
              <w:t>1.4.</w:t>
            </w:r>
          </w:p>
        </w:tc>
        <w:tc>
          <w:tcPr>
            <w:tcW w:w="5678" w:type="dxa"/>
            <w:tcBorders>
              <w:top w:val="nil"/>
              <w:left w:val="nil"/>
              <w:bottom w:val="nil"/>
              <w:right w:val="nil"/>
            </w:tcBorders>
            <w:tcMar>
              <w:top w:w="0" w:type="dxa"/>
              <w:left w:w="62" w:type="dxa"/>
              <w:bottom w:w="0" w:type="dxa"/>
              <w:right w:w="62" w:type="dxa"/>
            </w:tcMar>
          </w:tcPr>
          <w:p w:rsidR="00000000" w:rsidP="00C01B18">
            <w:pPr>
              <w:pStyle w:val="BodyText"/>
              <w:rPr>
                <w:lang w:val="en-NZ"/>
              </w:rPr>
            </w:pPr>
            <w:r w:rsidRPr="00C01B18">
              <w:t>Determine through the interpretation of electrical diagrams, drawings, lighting standards and/or from consultation the luminaire and ancillary equipment requirements for th</w:t>
            </w:r>
            <w:r w:rsidRPr="00C01B18">
              <w:t xml:space="preserve">e electrical installation </w:t>
            </w:r>
          </w:p>
        </w:tc>
      </w:tr>
      <w:tr w:rsidTr="00C01B18">
        <w:tblPrEx>
          <w:tblW w:w="0" w:type="auto"/>
          <w:tblLayout w:type="fixed"/>
          <w:tblCellMar>
            <w:left w:w="62" w:type="dxa"/>
            <w:right w:w="62" w:type="dxa"/>
          </w:tblCellMar>
          <w:tblLook w:val="0000"/>
        </w:tblPrEx>
        <w:tc>
          <w:tcPr>
            <w:tcW w:w="9128" w:type="dxa"/>
            <w:gridSpan w:val="4"/>
            <w:tcBorders>
              <w:top w:val="nil"/>
              <w:left w:val="nil"/>
              <w:bottom w:val="nil"/>
              <w:right w:val="nil"/>
            </w:tcBorders>
            <w:tcMar>
              <w:top w:w="0" w:type="dxa"/>
              <w:left w:w="62" w:type="dxa"/>
              <w:bottom w:w="0" w:type="dxa"/>
              <w:right w:w="62" w:type="dxa"/>
            </w:tcMar>
          </w:tcPr>
          <w:p w:rsidR="00000000" w:rsidP="00C01B18">
            <w:pPr>
              <w:pStyle w:val="BodyText"/>
              <w:rPr>
                <w:lang w:val="en-NZ"/>
              </w:rPr>
            </w:pPr>
          </w:p>
        </w:tc>
      </w:tr>
      <w:tr w:rsidTr="00C01B18">
        <w:tblPrEx>
          <w:tblW w:w="0" w:type="auto"/>
          <w:tblLayout w:type="fixed"/>
          <w:tblCellMar>
            <w:left w:w="62" w:type="dxa"/>
            <w:right w:w="62" w:type="dxa"/>
          </w:tblCellMar>
          <w:tblLook w:val="0000"/>
        </w:tblPrEx>
        <w:tc>
          <w:tcPr>
            <w:tcW w:w="546" w:type="dxa"/>
            <w:vMerge w:val="restart"/>
            <w:tcBorders>
              <w:top w:val="nil"/>
              <w:left w:val="nil"/>
              <w:bottom w:val="nil"/>
              <w:right w:val="nil"/>
            </w:tcBorders>
            <w:tcMar>
              <w:top w:w="0" w:type="dxa"/>
              <w:left w:w="62" w:type="dxa"/>
              <w:bottom w:w="0" w:type="dxa"/>
              <w:right w:w="62" w:type="dxa"/>
            </w:tcMar>
          </w:tcPr>
          <w:p w:rsidR="00000000" w:rsidP="00C01B18">
            <w:pPr>
              <w:pStyle w:val="BodyText"/>
              <w:rPr>
                <w:lang w:val="en-NZ"/>
              </w:rPr>
            </w:pPr>
            <w:r w:rsidRPr="00C01B18">
              <w:t>2.</w:t>
            </w:r>
          </w:p>
        </w:tc>
        <w:tc>
          <w:tcPr>
            <w:tcW w:w="2125" w:type="dxa"/>
            <w:vMerge w:val="restart"/>
            <w:tcBorders>
              <w:top w:val="nil"/>
              <w:left w:val="nil"/>
              <w:bottom w:val="nil"/>
              <w:right w:val="nil"/>
            </w:tcBorders>
            <w:tcMar>
              <w:top w:w="0" w:type="dxa"/>
              <w:left w:w="62" w:type="dxa"/>
              <w:bottom w:w="0" w:type="dxa"/>
              <w:right w:w="62" w:type="dxa"/>
            </w:tcMar>
          </w:tcPr>
          <w:p w:rsidR="00000000" w:rsidP="00C01B18">
            <w:pPr>
              <w:pStyle w:val="BodyText"/>
              <w:rPr>
                <w:lang w:val="en-NZ"/>
              </w:rPr>
            </w:pPr>
            <w:r w:rsidRPr="00C01B18">
              <w:t>Install luminaires and ancillary equipment</w:t>
            </w:r>
          </w:p>
        </w:tc>
        <w:tc>
          <w:tcPr>
            <w:tcW w:w="779" w:type="dxa"/>
            <w:tcBorders>
              <w:top w:val="nil"/>
              <w:left w:val="nil"/>
              <w:bottom w:val="nil"/>
              <w:right w:val="nil"/>
            </w:tcBorders>
            <w:tcMar>
              <w:top w:w="0" w:type="dxa"/>
              <w:left w:w="62" w:type="dxa"/>
              <w:bottom w:w="0" w:type="dxa"/>
              <w:right w:w="62" w:type="dxa"/>
            </w:tcMar>
          </w:tcPr>
          <w:p w:rsidR="00000000" w:rsidP="00C01B18">
            <w:pPr>
              <w:pStyle w:val="BodyText"/>
              <w:rPr>
                <w:lang w:val="en-NZ"/>
              </w:rPr>
            </w:pPr>
            <w:r w:rsidRPr="00C01B18">
              <w:t>2.1.</w:t>
            </w:r>
          </w:p>
        </w:tc>
        <w:tc>
          <w:tcPr>
            <w:tcW w:w="5678" w:type="dxa"/>
            <w:tcBorders>
              <w:top w:val="nil"/>
              <w:left w:val="nil"/>
              <w:bottom w:val="nil"/>
              <w:right w:val="nil"/>
            </w:tcBorders>
            <w:tcMar>
              <w:top w:w="0" w:type="dxa"/>
              <w:left w:w="62" w:type="dxa"/>
              <w:bottom w:w="0" w:type="dxa"/>
              <w:right w:w="62" w:type="dxa"/>
            </w:tcMar>
          </w:tcPr>
          <w:p w:rsidR="00000000" w:rsidP="00C01B18">
            <w:pPr>
              <w:pStyle w:val="BodyText"/>
              <w:rPr>
                <w:lang w:val="en-NZ"/>
              </w:rPr>
            </w:pPr>
            <w:r w:rsidRPr="00C01B18">
              <w:t>Obtain the number and type of luminaires and associated ancillary equipment through established procedures</w:t>
            </w:r>
          </w:p>
        </w:tc>
      </w:tr>
      <w:tr w:rsidTr="00C01B18">
        <w:tblPrEx>
          <w:tblW w:w="0" w:type="auto"/>
          <w:tblLayout w:type="fixed"/>
          <w:tblCellMar>
            <w:left w:w="62" w:type="dxa"/>
            <w:right w:w="62" w:type="dxa"/>
          </w:tblCellMar>
          <w:tblLook w:val="0000"/>
        </w:tblPrEx>
        <w:tc>
          <w:tcPr>
            <w:tcW w:w="54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01B18">
            <w:pPr>
              <w:pStyle w:val="BodyText"/>
              <w:rPr>
                <w:lang w:val="en-NZ"/>
              </w:rPr>
            </w:pPr>
            <w:r w:rsidRPr="00C01B18">
              <w:t>2.2.</w:t>
            </w:r>
          </w:p>
        </w:tc>
        <w:tc>
          <w:tcPr>
            <w:tcW w:w="5678" w:type="dxa"/>
            <w:tcBorders>
              <w:top w:val="nil"/>
              <w:left w:val="nil"/>
              <w:bottom w:val="nil"/>
              <w:right w:val="nil"/>
            </w:tcBorders>
            <w:tcMar>
              <w:top w:w="0" w:type="dxa"/>
              <w:left w:w="62" w:type="dxa"/>
              <w:bottom w:w="0" w:type="dxa"/>
              <w:right w:w="62" w:type="dxa"/>
            </w:tcMar>
          </w:tcPr>
          <w:p w:rsidR="00000000" w:rsidP="00C01B18">
            <w:pPr>
              <w:pStyle w:val="BodyText"/>
              <w:rPr>
                <w:lang w:val="en-NZ"/>
              </w:rPr>
            </w:pPr>
            <w:r w:rsidRPr="00C01B18">
              <w:t>Obtain necessary tools, equipment and testing instruments needed for installing luminaires and ancillary equipment</w:t>
            </w:r>
          </w:p>
        </w:tc>
      </w:tr>
      <w:tr w:rsidTr="00C01B18">
        <w:tblPrEx>
          <w:tblW w:w="0" w:type="auto"/>
          <w:tblLayout w:type="fixed"/>
          <w:tblCellMar>
            <w:left w:w="62" w:type="dxa"/>
            <w:right w:w="62" w:type="dxa"/>
          </w:tblCellMar>
          <w:tblLook w:val="0000"/>
        </w:tblPrEx>
        <w:tc>
          <w:tcPr>
            <w:tcW w:w="54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01B18">
            <w:pPr>
              <w:pStyle w:val="BodyText"/>
              <w:rPr>
                <w:lang w:val="en-NZ"/>
              </w:rPr>
            </w:pPr>
            <w:r w:rsidRPr="00C01B18">
              <w:t>2.3.</w:t>
            </w:r>
          </w:p>
        </w:tc>
        <w:tc>
          <w:tcPr>
            <w:tcW w:w="5678" w:type="dxa"/>
            <w:tcBorders>
              <w:top w:val="nil"/>
              <w:left w:val="nil"/>
              <w:bottom w:val="nil"/>
              <w:right w:val="nil"/>
            </w:tcBorders>
            <w:tcMar>
              <w:top w:w="0" w:type="dxa"/>
              <w:left w:w="62" w:type="dxa"/>
              <w:bottom w:w="0" w:type="dxa"/>
              <w:right w:w="62" w:type="dxa"/>
            </w:tcMar>
          </w:tcPr>
          <w:p w:rsidR="00000000" w:rsidP="00C01B18">
            <w:pPr>
              <w:pStyle w:val="BodyText"/>
              <w:rPr>
                <w:lang w:val="en-NZ"/>
              </w:rPr>
            </w:pPr>
            <w:r w:rsidRPr="00C01B18">
              <w:t>Isolate and tag circuits and equipment in accordance with procedures, where required</w:t>
            </w:r>
          </w:p>
        </w:tc>
      </w:tr>
      <w:tr w:rsidTr="00C01B18">
        <w:tblPrEx>
          <w:tblW w:w="0" w:type="auto"/>
          <w:tblLayout w:type="fixed"/>
          <w:tblCellMar>
            <w:left w:w="62" w:type="dxa"/>
            <w:right w:w="62" w:type="dxa"/>
          </w:tblCellMar>
          <w:tblLook w:val="0000"/>
        </w:tblPrEx>
        <w:tc>
          <w:tcPr>
            <w:tcW w:w="54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01B18">
            <w:pPr>
              <w:pStyle w:val="BodyText"/>
              <w:rPr>
                <w:lang w:val="en-NZ"/>
              </w:rPr>
            </w:pPr>
            <w:r w:rsidRPr="00C01B18">
              <w:t>2.4.</w:t>
            </w:r>
          </w:p>
        </w:tc>
        <w:tc>
          <w:tcPr>
            <w:tcW w:w="5678" w:type="dxa"/>
            <w:tcBorders>
              <w:top w:val="nil"/>
              <w:left w:val="nil"/>
              <w:bottom w:val="nil"/>
              <w:right w:val="nil"/>
            </w:tcBorders>
            <w:tcMar>
              <w:top w:w="0" w:type="dxa"/>
              <w:left w:w="62" w:type="dxa"/>
              <w:bottom w:w="0" w:type="dxa"/>
              <w:right w:w="62" w:type="dxa"/>
            </w:tcMar>
          </w:tcPr>
          <w:p w:rsidR="00000000" w:rsidP="00C01B18">
            <w:pPr>
              <w:pStyle w:val="BodyText"/>
              <w:rPr>
                <w:lang w:val="en-NZ"/>
              </w:rPr>
            </w:pPr>
            <w:r w:rsidRPr="00C01B18">
              <w:t xml:space="preserve">Install luminaires and accessories complying with job specifications, and regulatory and legislative requirements </w:t>
            </w:r>
          </w:p>
        </w:tc>
      </w:tr>
      <w:tr w:rsidTr="00C01B18">
        <w:tblPrEx>
          <w:tblW w:w="0" w:type="auto"/>
          <w:tblLayout w:type="fixed"/>
          <w:tblCellMar>
            <w:left w:w="62" w:type="dxa"/>
            <w:right w:w="62" w:type="dxa"/>
          </w:tblCellMar>
          <w:tblLook w:val="0000"/>
        </w:tblPrEx>
        <w:tc>
          <w:tcPr>
            <w:tcW w:w="54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01B18">
            <w:pPr>
              <w:pStyle w:val="BodyText"/>
              <w:rPr>
                <w:lang w:val="en-NZ"/>
              </w:rPr>
            </w:pPr>
            <w:r w:rsidRPr="00C01B18">
              <w:t>2.5.</w:t>
            </w:r>
          </w:p>
        </w:tc>
        <w:tc>
          <w:tcPr>
            <w:tcW w:w="5678" w:type="dxa"/>
            <w:tcBorders>
              <w:top w:val="nil"/>
              <w:left w:val="nil"/>
              <w:bottom w:val="nil"/>
              <w:right w:val="nil"/>
            </w:tcBorders>
            <w:tcMar>
              <w:top w:w="0" w:type="dxa"/>
              <w:left w:w="62" w:type="dxa"/>
              <w:bottom w:w="0" w:type="dxa"/>
              <w:right w:w="62" w:type="dxa"/>
            </w:tcMar>
          </w:tcPr>
          <w:p w:rsidR="00000000" w:rsidP="00C01B18">
            <w:pPr>
              <w:pStyle w:val="BodyText"/>
              <w:rPr>
                <w:lang w:val="en-NZ"/>
              </w:rPr>
            </w:pPr>
            <w:r w:rsidRPr="00C01B18">
              <w:t>Check installed accessories are straight and square in the required locations and within acceptable tolerances</w:t>
            </w:r>
          </w:p>
        </w:tc>
      </w:tr>
      <w:tr w:rsidTr="00C01B18">
        <w:tblPrEx>
          <w:tblW w:w="0" w:type="auto"/>
          <w:tblLayout w:type="fixed"/>
          <w:tblCellMar>
            <w:left w:w="62" w:type="dxa"/>
            <w:right w:w="62" w:type="dxa"/>
          </w:tblCellMar>
          <w:tblLook w:val="0000"/>
        </w:tblPrEx>
        <w:tc>
          <w:tcPr>
            <w:tcW w:w="54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01B18">
            <w:pPr>
              <w:pStyle w:val="BodyText"/>
              <w:rPr>
                <w:lang w:val="en-NZ"/>
              </w:rPr>
            </w:pPr>
            <w:r w:rsidRPr="00C01B18">
              <w:t>2.6.</w:t>
            </w:r>
          </w:p>
        </w:tc>
        <w:tc>
          <w:tcPr>
            <w:tcW w:w="5678" w:type="dxa"/>
            <w:tcBorders>
              <w:top w:val="nil"/>
              <w:left w:val="nil"/>
              <w:bottom w:val="nil"/>
              <w:right w:val="nil"/>
            </w:tcBorders>
            <w:tcMar>
              <w:top w:w="0" w:type="dxa"/>
              <w:left w:w="62" w:type="dxa"/>
              <w:bottom w:w="0" w:type="dxa"/>
              <w:right w:w="62" w:type="dxa"/>
            </w:tcMar>
          </w:tcPr>
          <w:p w:rsidR="00000000" w:rsidP="00C01B18">
            <w:pPr>
              <w:pStyle w:val="BodyText"/>
              <w:rPr>
                <w:lang w:val="en-NZ"/>
              </w:rPr>
            </w:pPr>
            <w:r w:rsidRPr="00C01B18">
              <w:t>Terminate ligh</w:t>
            </w:r>
            <w:r w:rsidRPr="00C01B18">
              <w:t xml:space="preserve">ting circuits to luminaires, switches and other control devices in accordance with manufacturer </w:t>
            </w:r>
            <w:r w:rsidRPr="00C01B18">
              <w:t>specifications and regulatory requirements</w:t>
            </w:r>
          </w:p>
        </w:tc>
      </w:tr>
      <w:tr w:rsidTr="00C01B18">
        <w:tblPrEx>
          <w:tblW w:w="0" w:type="auto"/>
          <w:tblLayout w:type="fixed"/>
          <w:tblCellMar>
            <w:left w:w="62" w:type="dxa"/>
            <w:right w:w="62" w:type="dxa"/>
          </w:tblCellMar>
          <w:tblLook w:val="0000"/>
        </w:tblPrEx>
        <w:tc>
          <w:tcPr>
            <w:tcW w:w="54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01B18">
            <w:pPr>
              <w:pStyle w:val="BodyText"/>
              <w:rPr>
                <w:lang w:val="en-NZ"/>
              </w:rPr>
            </w:pPr>
            <w:r w:rsidRPr="00C01B18">
              <w:t>2.7.</w:t>
            </w:r>
          </w:p>
        </w:tc>
        <w:tc>
          <w:tcPr>
            <w:tcW w:w="5678" w:type="dxa"/>
            <w:tcBorders>
              <w:top w:val="nil"/>
              <w:left w:val="nil"/>
              <w:bottom w:val="nil"/>
              <w:right w:val="nil"/>
            </w:tcBorders>
            <w:tcMar>
              <w:top w:w="0" w:type="dxa"/>
              <w:left w:w="62" w:type="dxa"/>
              <w:bottom w:w="0" w:type="dxa"/>
              <w:right w:w="62" w:type="dxa"/>
            </w:tcMar>
          </w:tcPr>
          <w:p w:rsidR="00000000" w:rsidP="00C01B18">
            <w:pPr>
              <w:pStyle w:val="BodyText"/>
              <w:rPr>
                <w:lang w:val="en-NZ"/>
              </w:rPr>
            </w:pPr>
            <w:r w:rsidRPr="00C01B18">
              <w:t>Test luminaires and ancillary equipment to ensure compliance</w:t>
            </w:r>
          </w:p>
        </w:tc>
      </w:tr>
      <w:tr w:rsidTr="00C01B18">
        <w:tblPrEx>
          <w:tblW w:w="0" w:type="auto"/>
          <w:tblLayout w:type="fixed"/>
          <w:tblCellMar>
            <w:left w:w="62" w:type="dxa"/>
            <w:right w:w="62" w:type="dxa"/>
          </w:tblCellMar>
          <w:tblLook w:val="0000"/>
        </w:tblPrEx>
        <w:tc>
          <w:tcPr>
            <w:tcW w:w="9128" w:type="dxa"/>
            <w:gridSpan w:val="4"/>
            <w:tcBorders>
              <w:top w:val="nil"/>
              <w:left w:val="nil"/>
              <w:bottom w:val="nil"/>
              <w:right w:val="nil"/>
            </w:tcBorders>
            <w:tcMar>
              <w:top w:w="0" w:type="dxa"/>
              <w:left w:w="62" w:type="dxa"/>
              <w:bottom w:w="0" w:type="dxa"/>
              <w:right w:w="62" w:type="dxa"/>
            </w:tcMar>
          </w:tcPr>
          <w:p w:rsidR="00000000" w:rsidP="00C01B18">
            <w:pPr>
              <w:pStyle w:val="BodyText"/>
              <w:rPr>
                <w:lang w:val="en-NZ"/>
              </w:rPr>
            </w:pPr>
          </w:p>
        </w:tc>
      </w:tr>
      <w:tr w:rsidTr="00C01B18">
        <w:tblPrEx>
          <w:tblW w:w="0" w:type="auto"/>
          <w:tblLayout w:type="fixed"/>
          <w:tblCellMar>
            <w:left w:w="62" w:type="dxa"/>
            <w:right w:w="62" w:type="dxa"/>
          </w:tblCellMar>
          <w:tblLook w:val="0000"/>
        </w:tblPrEx>
        <w:tc>
          <w:tcPr>
            <w:tcW w:w="546" w:type="dxa"/>
            <w:vMerge w:val="restart"/>
            <w:tcBorders>
              <w:top w:val="nil"/>
              <w:left w:val="nil"/>
              <w:bottom w:val="nil"/>
              <w:right w:val="nil"/>
            </w:tcBorders>
            <w:tcMar>
              <w:top w:w="0" w:type="dxa"/>
              <w:left w:w="62" w:type="dxa"/>
              <w:bottom w:w="0" w:type="dxa"/>
              <w:right w:w="62" w:type="dxa"/>
            </w:tcMar>
          </w:tcPr>
          <w:p w:rsidR="00000000" w:rsidP="00C01B18">
            <w:pPr>
              <w:pStyle w:val="BodyText"/>
              <w:rPr>
                <w:lang w:val="en-NZ"/>
              </w:rPr>
            </w:pPr>
            <w:r w:rsidRPr="00C01B18">
              <w:t>3.</w:t>
            </w:r>
          </w:p>
        </w:tc>
        <w:tc>
          <w:tcPr>
            <w:tcW w:w="2125" w:type="dxa"/>
            <w:vMerge w:val="restart"/>
            <w:tcBorders>
              <w:top w:val="nil"/>
              <w:left w:val="nil"/>
              <w:bottom w:val="nil"/>
              <w:right w:val="nil"/>
            </w:tcBorders>
            <w:tcMar>
              <w:top w:w="0" w:type="dxa"/>
              <w:left w:w="62" w:type="dxa"/>
              <w:bottom w:w="0" w:type="dxa"/>
              <w:right w:w="62" w:type="dxa"/>
            </w:tcMar>
          </w:tcPr>
          <w:p w:rsidR="00000000" w:rsidP="00C01B18">
            <w:pPr>
              <w:pStyle w:val="BodyText"/>
              <w:rPr>
                <w:lang w:val="en-NZ"/>
              </w:rPr>
            </w:pPr>
            <w:r w:rsidRPr="00C01B18">
              <w:t>Troubleshoot luminaires and ancillary equipment</w:t>
            </w:r>
          </w:p>
        </w:tc>
        <w:tc>
          <w:tcPr>
            <w:tcW w:w="779" w:type="dxa"/>
            <w:tcBorders>
              <w:top w:val="nil"/>
              <w:left w:val="nil"/>
              <w:bottom w:val="nil"/>
              <w:right w:val="nil"/>
            </w:tcBorders>
            <w:tcMar>
              <w:top w:w="0" w:type="dxa"/>
              <w:left w:w="62" w:type="dxa"/>
              <w:bottom w:w="0" w:type="dxa"/>
              <w:right w:w="62" w:type="dxa"/>
            </w:tcMar>
          </w:tcPr>
          <w:p w:rsidR="00000000" w:rsidP="00C01B18">
            <w:pPr>
              <w:pStyle w:val="BodyText"/>
              <w:rPr>
                <w:lang w:val="en-NZ"/>
              </w:rPr>
            </w:pPr>
            <w:r w:rsidRPr="00C01B18">
              <w:t>3.1.</w:t>
            </w:r>
          </w:p>
        </w:tc>
        <w:tc>
          <w:tcPr>
            <w:tcW w:w="5678" w:type="dxa"/>
            <w:tcBorders>
              <w:top w:val="nil"/>
              <w:left w:val="nil"/>
              <w:bottom w:val="nil"/>
              <w:right w:val="nil"/>
            </w:tcBorders>
            <w:tcMar>
              <w:top w:w="0" w:type="dxa"/>
              <w:left w:w="62" w:type="dxa"/>
              <w:bottom w:w="0" w:type="dxa"/>
              <w:right w:w="62" w:type="dxa"/>
            </w:tcMar>
          </w:tcPr>
          <w:p w:rsidR="00000000" w:rsidP="00C01B18">
            <w:pPr>
              <w:pStyle w:val="BodyText"/>
              <w:rPr>
                <w:lang w:val="en-NZ"/>
              </w:rPr>
            </w:pPr>
            <w:r w:rsidRPr="00C01B18">
              <w:t>Identify the fault and resulting safety hazards and implement risk control measures in consultation with appropriate personnel</w:t>
            </w:r>
          </w:p>
        </w:tc>
      </w:tr>
      <w:tr w:rsidTr="00C01B18">
        <w:tblPrEx>
          <w:tblW w:w="0" w:type="auto"/>
          <w:tblLayout w:type="fixed"/>
          <w:tblCellMar>
            <w:left w:w="62" w:type="dxa"/>
            <w:right w:w="62" w:type="dxa"/>
          </w:tblCellMar>
          <w:tblLook w:val="0000"/>
        </w:tblPrEx>
        <w:tc>
          <w:tcPr>
            <w:tcW w:w="54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01B18">
            <w:pPr>
              <w:pStyle w:val="BodyText"/>
              <w:rPr>
                <w:lang w:val="en-NZ"/>
              </w:rPr>
            </w:pPr>
            <w:r w:rsidRPr="00C01B18">
              <w:t>3.2.</w:t>
            </w:r>
          </w:p>
        </w:tc>
        <w:tc>
          <w:tcPr>
            <w:tcW w:w="5678" w:type="dxa"/>
            <w:tcBorders>
              <w:top w:val="nil"/>
              <w:left w:val="nil"/>
              <w:bottom w:val="nil"/>
              <w:right w:val="nil"/>
            </w:tcBorders>
            <w:tcMar>
              <w:top w:w="0" w:type="dxa"/>
              <w:left w:w="62" w:type="dxa"/>
              <w:bottom w:w="0" w:type="dxa"/>
              <w:right w:w="62" w:type="dxa"/>
            </w:tcMar>
          </w:tcPr>
          <w:p w:rsidR="00000000" w:rsidP="00C01B18">
            <w:pPr>
              <w:pStyle w:val="BodyText"/>
              <w:rPr>
                <w:lang w:val="en-NZ"/>
              </w:rPr>
            </w:pPr>
            <w:r w:rsidRPr="00C01B18">
              <w:t>Apply diagnostic techniques to troubleshoot luminaires, ancillary eq</w:t>
            </w:r>
            <w:r w:rsidRPr="00C01B18">
              <w:t>uipment and associated lighting circuits using appropriate test equipment</w:t>
            </w:r>
          </w:p>
        </w:tc>
      </w:tr>
      <w:tr w:rsidTr="00C01B18">
        <w:tblPrEx>
          <w:tblW w:w="0" w:type="auto"/>
          <w:tblLayout w:type="fixed"/>
          <w:tblCellMar>
            <w:left w:w="62" w:type="dxa"/>
            <w:right w:w="62" w:type="dxa"/>
          </w:tblCellMar>
          <w:tblLook w:val="0000"/>
        </w:tblPrEx>
        <w:tc>
          <w:tcPr>
            <w:tcW w:w="54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01B18">
            <w:pPr>
              <w:pStyle w:val="BodyText"/>
              <w:rPr>
                <w:lang w:val="en-NZ"/>
              </w:rPr>
            </w:pPr>
            <w:r w:rsidRPr="00C01B18">
              <w:t>3.3.</w:t>
            </w:r>
          </w:p>
        </w:tc>
        <w:tc>
          <w:tcPr>
            <w:tcW w:w="5678" w:type="dxa"/>
            <w:tcBorders>
              <w:top w:val="nil"/>
              <w:left w:val="nil"/>
              <w:bottom w:val="nil"/>
              <w:right w:val="nil"/>
            </w:tcBorders>
            <w:tcMar>
              <w:top w:w="0" w:type="dxa"/>
              <w:left w:w="62" w:type="dxa"/>
              <w:bottom w:w="0" w:type="dxa"/>
              <w:right w:w="62" w:type="dxa"/>
            </w:tcMar>
          </w:tcPr>
          <w:p w:rsidR="00000000" w:rsidP="00C01B18">
            <w:pPr>
              <w:pStyle w:val="BodyText"/>
              <w:rPr>
                <w:lang w:val="en-NZ"/>
              </w:rPr>
            </w:pPr>
            <w:r w:rsidRPr="00C01B18">
              <w:t>Repair/replace faulty circuits/components according to manufacturer specifications and regulatory requirements</w:t>
            </w:r>
          </w:p>
        </w:tc>
      </w:tr>
      <w:tr w:rsidTr="00C01B18">
        <w:tblPrEx>
          <w:tblW w:w="0" w:type="auto"/>
          <w:tblLayout w:type="fixed"/>
          <w:tblCellMar>
            <w:left w:w="62" w:type="dxa"/>
            <w:right w:w="62" w:type="dxa"/>
          </w:tblCellMar>
          <w:tblLook w:val="0000"/>
        </w:tblPrEx>
        <w:tc>
          <w:tcPr>
            <w:tcW w:w="54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01B18">
            <w:pPr>
              <w:pStyle w:val="BodyText"/>
              <w:rPr>
                <w:lang w:val="en-NZ"/>
              </w:rPr>
            </w:pPr>
            <w:r w:rsidRPr="00C01B18">
              <w:t>3.4.</w:t>
            </w:r>
          </w:p>
        </w:tc>
        <w:tc>
          <w:tcPr>
            <w:tcW w:w="5678" w:type="dxa"/>
            <w:tcBorders>
              <w:top w:val="nil"/>
              <w:left w:val="nil"/>
              <w:bottom w:val="nil"/>
              <w:right w:val="nil"/>
            </w:tcBorders>
            <w:tcMar>
              <w:top w:w="0" w:type="dxa"/>
              <w:left w:w="62" w:type="dxa"/>
              <w:bottom w:w="0" w:type="dxa"/>
              <w:right w:w="62" w:type="dxa"/>
            </w:tcMar>
          </w:tcPr>
          <w:p w:rsidR="00000000" w:rsidP="00C01B18">
            <w:pPr>
              <w:pStyle w:val="BodyText"/>
              <w:rPr>
                <w:lang w:val="en-NZ"/>
              </w:rPr>
            </w:pPr>
            <w:r w:rsidRPr="00C01B18">
              <w:t>Test repaired/replaced circuit/component for functionality in accordance with regulatory requirements</w:t>
            </w:r>
          </w:p>
        </w:tc>
      </w:tr>
      <w:tr w:rsidTr="00C01B18">
        <w:tblPrEx>
          <w:tblW w:w="0" w:type="auto"/>
          <w:tblLayout w:type="fixed"/>
          <w:tblCellMar>
            <w:left w:w="62" w:type="dxa"/>
            <w:right w:w="62" w:type="dxa"/>
          </w:tblCellMar>
          <w:tblLook w:val="0000"/>
        </w:tblPrEx>
        <w:tc>
          <w:tcPr>
            <w:tcW w:w="54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01B18">
            <w:pPr>
              <w:pStyle w:val="BodyText"/>
              <w:rPr>
                <w:lang w:val="en-NZ"/>
              </w:rPr>
            </w:pPr>
            <w:r w:rsidRPr="00C01B18">
              <w:t>3.5.</w:t>
            </w:r>
          </w:p>
        </w:tc>
        <w:tc>
          <w:tcPr>
            <w:tcW w:w="5678" w:type="dxa"/>
            <w:tcBorders>
              <w:top w:val="nil"/>
              <w:left w:val="nil"/>
              <w:bottom w:val="nil"/>
              <w:right w:val="nil"/>
            </w:tcBorders>
            <w:tcMar>
              <w:top w:w="0" w:type="dxa"/>
              <w:left w:w="62" w:type="dxa"/>
              <w:bottom w:w="0" w:type="dxa"/>
              <w:right w:w="62" w:type="dxa"/>
            </w:tcMar>
          </w:tcPr>
          <w:p w:rsidR="00000000" w:rsidP="00C01B18">
            <w:pPr>
              <w:pStyle w:val="BodyText"/>
              <w:rPr>
                <w:lang w:val="en-NZ"/>
              </w:rPr>
            </w:pPr>
            <w:r w:rsidRPr="00C01B18">
              <w:t>Dispose of discharge lamps in accordance with environmental guidelines and procedures</w:t>
            </w:r>
          </w:p>
        </w:tc>
      </w:tr>
      <w:tr w:rsidTr="00C01B18">
        <w:tblPrEx>
          <w:tblW w:w="0" w:type="auto"/>
          <w:tblLayout w:type="fixed"/>
          <w:tblCellMar>
            <w:left w:w="62" w:type="dxa"/>
            <w:right w:w="62" w:type="dxa"/>
          </w:tblCellMar>
          <w:tblLook w:val="0000"/>
        </w:tblPrEx>
        <w:tc>
          <w:tcPr>
            <w:tcW w:w="54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01B18">
            <w:pPr>
              <w:pStyle w:val="BodyText"/>
              <w:rPr>
                <w:lang w:val="en-NZ"/>
              </w:rPr>
            </w:pPr>
            <w:r w:rsidRPr="00C01B18">
              <w:t>3.6.</w:t>
            </w:r>
          </w:p>
        </w:tc>
        <w:tc>
          <w:tcPr>
            <w:tcW w:w="5678" w:type="dxa"/>
            <w:tcBorders>
              <w:top w:val="nil"/>
              <w:left w:val="nil"/>
              <w:bottom w:val="nil"/>
              <w:right w:val="nil"/>
            </w:tcBorders>
            <w:tcMar>
              <w:top w:w="0" w:type="dxa"/>
              <w:left w:w="62" w:type="dxa"/>
              <w:bottom w:w="0" w:type="dxa"/>
              <w:right w:w="62" w:type="dxa"/>
            </w:tcMar>
          </w:tcPr>
          <w:p w:rsidR="00000000" w:rsidRPr="00C01B18" w:rsidP="00C01B18">
            <w:pPr>
              <w:pStyle w:val="BodyText"/>
            </w:pPr>
            <w:r w:rsidRPr="00C01B18">
              <w:t>Document installation and troubleshooting of luminai</w:t>
            </w:r>
            <w:r w:rsidRPr="00C01B18">
              <w:t>res, ancillary equipment and associated circuits in accordance with SOPs</w:t>
            </w:r>
          </w:p>
        </w:tc>
      </w:tr>
    </w:tbl>
    <w:p w:rsidR="00000000" w:rsidRPr="00C01B18" w:rsidP="00C01B18">
      <w:pPr>
        <w:pStyle w:val="BodyText"/>
      </w:pPr>
    </w:p>
    <w:p w:rsidR="00000000" w:rsidRPr="00C01B18" w:rsidP="00C01B18">
      <w:pPr>
        <w:pStyle w:val="AllowPageBreak"/>
      </w:pPr>
    </w:p>
    <w:p w:rsidR="00000000" w:rsidRPr="00C01B18" w:rsidP="00C01B18">
      <w:pPr>
        <w:pStyle w:val="Heading1"/>
      </w:pPr>
      <w:bookmarkStart w:id="6" w:name="O_968698"/>
      <w:bookmarkEnd w:id="6"/>
      <w:r w:rsidRPr="00C01B18">
        <w:t>Foundation Skills</w:t>
      </w:r>
    </w:p>
    <w:p w:rsidR="00000000" w:rsidRPr="00C01B18" w:rsidP="005B4D7B">
      <w:pPr>
        <w:pStyle w:val="BodyText"/>
      </w:pPr>
      <w:r w:rsidRPr="00C01B18">
        <w:t xml:space="preserve">This section describes those required </w:t>
      </w:r>
      <w:r w:rsidRPr="00C01B18">
        <w:t>skills (reading, writing, oral communication and numeracy) that are essential to workplace performance in this unit of competency.</w:t>
      </w:r>
    </w:p>
    <w:p w:rsidR="00000000" w:rsidRPr="00C01B18" w:rsidP="005B4D7B">
      <w:pPr>
        <w:pStyle w:val="BodyText"/>
      </w:pPr>
      <w:r w:rsidRPr="00C01B18">
        <w:t>Foundation skills essential to performance are explicit in the performance criteria of this unit of competency.</w:t>
      </w:r>
    </w:p>
    <w:p w:rsidR="00000000" w:rsidRPr="00C01B18" w:rsidP="00C01B18">
      <w:pPr>
        <w:pStyle w:val="Heading1"/>
      </w:pPr>
      <w:bookmarkStart w:id="7" w:name="O_968697"/>
      <w:bookmarkEnd w:id="7"/>
      <w:r w:rsidRPr="00C01B18">
        <w:t>Range of Conditions</w:t>
      </w:r>
    </w:p>
    <w:tbl>
      <w:tblPr>
        <w:tblW w:w="9286" w:type="dxa"/>
        <w:tblLayout w:type="fixed"/>
        <w:tblCellMar>
          <w:left w:w="62" w:type="dxa"/>
          <w:right w:w="62" w:type="dxa"/>
        </w:tblCellMar>
        <w:tblLook w:val="0000"/>
      </w:tblPr>
      <w:tblGrid>
        <w:gridCol w:w="2726"/>
        <w:gridCol w:w="6560"/>
      </w:tblGrid>
      <w:tr w:rsidTr="00C01B18">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C01B18">
            <w:pPr>
              <w:pStyle w:val="BodyText"/>
              <w:rPr>
                <w:lang w:val="en-NZ"/>
              </w:rPr>
            </w:pPr>
            <w:r w:rsidRPr="00C01B18">
              <w:t>This field allows for different work environments and conditions that may affect performance. Essential operating conditions that may be present (depending on the work situation, needs of the candidate, accessibility of the item, a</w:t>
            </w:r>
            <w:r w:rsidRPr="00C01B18">
              <w:t>nd local industry and regional contexts) are included.</w:t>
            </w:r>
          </w:p>
        </w:tc>
      </w:tr>
      <w:tr w:rsidTr="00C01B18">
        <w:tblPrEx>
          <w:tblW w:w="9286" w:type="dxa"/>
          <w:tblLayout w:type="fixed"/>
          <w:tblCellMar>
            <w:left w:w="62" w:type="dxa"/>
            <w:right w:w="62" w:type="dxa"/>
          </w:tblCellMar>
          <w:tblLook w:val="0000"/>
        </w:tblPrEx>
        <w:tc>
          <w:tcPr>
            <w:tcW w:w="2726" w:type="dxa"/>
            <w:tcBorders>
              <w:top w:val="nil"/>
              <w:left w:val="nil"/>
              <w:bottom w:val="nil"/>
              <w:right w:val="nil"/>
            </w:tcBorders>
            <w:tcMar>
              <w:top w:w="0" w:type="dxa"/>
              <w:left w:w="62" w:type="dxa"/>
              <w:bottom w:w="0" w:type="dxa"/>
              <w:right w:w="62" w:type="dxa"/>
            </w:tcMar>
          </w:tcPr>
          <w:p w:rsidR="00000000" w:rsidP="00C01B18">
            <w:pPr>
              <w:pStyle w:val="BodyText"/>
              <w:rPr>
                <w:lang w:val="en-NZ"/>
              </w:rPr>
            </w:pPr>
            <w:r w:rsidRPr="00C01B18">
              <w:rPr>
                <w:rStyle w:val="SpecialBold"/>
              </w:rPr>
              <w:t>Lighting standard includes:</w:t>
            </w:r>
          </w:p>
        </w:tc>
        <w:tc>
          <w:tcPr>
            <w:tcW w:w="6560" w:type="dxa"/>
            <w:tcBorders>
              <w:top w:val="nil"/>
              <w:left w:val="nil"/>
              <w:bottom w:val="nil"/>
              <w:right w:val="nil"/>
            </w:tcBorders>
            <w:tcMar>
              <w:top w:w="0" w:type="dxa"/>
              <w:left w:w="62" w:type="dxa"/>
              <w:bottom w:w="0" w:type="dxa"/>
              <w:right w:w="62" w:type="dxa"/>
            </w:tcMar>
          </w:tcPr>
          <w:p w:rsidR="00000000" w:rsidRPr="00C01B18" w:rsidP="00C01B18">
            <w:pPr>
              <w:pStyle w:val="ListBullet"/>
            </w:pPr>
            <w:r w:rsidRPr="00C01B18">
              <w:t>AS/NZS 1680.1:2006 Interior and workplace lighting general principles and recommendations</w:t>
            </w:r>
          </w:p>
          <w:p w:rsidR="00000000" w:rsidP="00C01B18">
            <w:pPr>
              <w:pStyle w:val="BodyText"/>
              <w:rPr>
                <w:lang w:val="en-NZ"/>
              </w:rPr>
            </w:pPr>
          </w:p>
        </w:tc>
      </w:tr>
      <w:tr w:rsidTr="00C01B18">
        <w:tblPrEx>
          <w:tblW w:w="9286" w:type="dxa"/>
          <w:tblLayout w:type="fixed"/>
          <w:tblCellMar>
            <w:left w:w="62" w:type="dxa"/>
            <w:right w:w="62" w:type="dxa"/>
          </w:tblCellMar>
          <w:tblLook w:val="0000"/>
        </w:tblPrEx>
        <w:tc>
          <w:tcPr>
            <w:tcW w:w="2726" w:type="dxa"/>
            <w:tcBorders>
              <w:top w:val="nil"/>
              <w:left w:val="nil"/>
              <w:bottom w:val="nil"/>
              <w:right w:val="nil"/>
            </w:tcBorders>
            <w:tcMar>
              <w:top w:w="0" w:type="dxa"/>
              <w:left w:w="62" w:type="dxa"/>
              <w:bottom w:w="0" w:type="dxa"/>
              <w:right w:w="62" w:type="dxa"/>
            </w:tcMar>
          </w:tcPr>
          <w:p w:rsidR="00000000" w:rsidP="00C01B18">
            <w:pPr>
              <w:pStyle w:val="BodyText"/>
              <w:rPr>
                <w:lang w:val="en-NZ"/>
              </w:rPr>
            </w:pPr>
            <w:r w:rsidRPr="00C01B18">
              <w:rPr>
                <w:rStyle w:val="SpecialBold"/>
              </w:rPr>
              <w:t>Regulatory requirements include:</w:t>
            </w:r>
          </w:p>
        </w:tc>
        <w:tc>
          <w:tcPr>
            <w:tcW w:w="6560" w:type="dxa"/>
            <w:tcBorders>
              <w:top w:val="nil"/>
              <w:left w:val="nil"/>
              <w:bottom w:val="nil"/>
              <w:right w:val="nil"/>
            </w:tcBorders>
            <w:tcMar>
              <w:top w:w="0" w:type="dxa"/>
              <w:left w:w="62" w:type="dxa"/>
              <w:bottom w:w="0" w:type="dxa"/>
              <w:right w:w="62" w:type="dxa"/>
            </w:tcMar>
          </w:tcPr>
          <w:p w:rsidR="00000000" w:rsidRPr="00C01B18" w:rsidP="00C01B18">
            <w:pPr>
              <w:pStyle w:val="ListBullet"/>
            </w:pPr>
            <w:r w:rsidRPr="00C01B18">
              <w:t>AS/NZS 3000:2007 Electrical Installations (known as the Australian/New Zealand Wiring Rules</w:t>
            </w:r>
          </w:p>
          <w:p w:rsidR="00000000" w:rsidRPr="00C01B18" w:rsidP="00C01B18">
            <w:pPr>
              <w:pStyle w:val="ListBullet"/>
            </w:pPr>
            <w:r w:rsidRPr="00C01B18">
              <w:t>National Construction Code (NCC) Australia or building code (NZ)</w:t>
            </w:r>
          </w:p>
          <w:p w:rsidR="00000000" w:rsidP="00C01B18">
            <w:pPr>
              <w:pStyle w:val="BodyText"/>
              <w:rPr>
                <w:lang w:val="en-NZ"/>
              </w:rPr>
            </w:pPr>
          </w:p>
        </w:tc>
      </w:tr>
      <w:tr w:rsidTr="00C01B18">
        <w:tblPrEx>
          <w:tblW w:w="9286" w:type="dxa"/>
          <w:tblLayout w:type="fixed"/>
          <w:tblCellMar>
            <w:left w:w="62" w:type="dxa"/>
            <w:right w:w="62" w:type="dxa"/>
          </w:tblCellMar>
          <w:tblLook w:val="0000"/>
        </w:tblPrEx>
        <w:tc>
          <w:tcPr>
            <w:tcW w:w="2726" w:type="dxa"/>
            <w:tcBorders>
              <w:top w:val="nil"/>
              <w:left w:val="nil"/>
              <w:bottom w:val="nil"/>
              <w:right w:val="nil"/>
            </w:tcBorders>
            <w:tcMar>
              <w:top w:w="0" w:type="dxa"/>
              <w:left w:w="62" w:type="dxa"/>
              <w:bottom w:w="0" w:type="dxa"/>
              <w:right w:w="62" w:type="dxa"/>
            </w:tcMar>
          </w:tcPr>
          <w:p w:rsidR="00000000" w:rsidP="00C01B18">
            <w:pPr>
              <w:pStyle w:val="BodyText"/>
              <w:rPr>
                <w:lang w:val="en-NZ"/>
              </w:rPr>
            </w:pPr>
            <w:r w:rsidRPr="00C01B18">
              <w:rPr>
                <w:rStyle w:val="SpecialBold"/>
              </w:rPr>
              <w:t>Faults include:</w:t>
            </w:r>
          </w:p>
        </w:tc>
        <w:tc>
          <w:tcPr>
            <w:tcW w:w="6560" w:type="dxa"/>
            <w:tcBorders>
              <w:top w:val="nil"/>
              <w:left w:val="nil"/>
              <w:bottom w:val="nil"/>
              <w:right w:val="nil"/>
            </w:tcBorders>
            <w:tcMar>
              <w:top w:w="0" w:type="dxa"/>
              <w:left w:w="62" w:type="dxa"/>
              <w:bottom w:w="0" w:type="dxa"/>
              <w:right w:w="62" w:type="dxa"/>
            </w:tcMar>
          </w:tcPr>
          <w:p w:rsidR="00000000" w:rsidRPr="00C01B18" w:rsidP="00C01B18">
            <w:pPr>
              <w:pStyle w:val="ListBullet"/>
            </w:pPr>
            <w:r w:rsidRPr="00C01B18">
              <w:t>fluorescent light circuits, including lamp, ballast and starter</w:t>
            </w:r>
          </w:p>
          <w:p w:rsidR="00000000" w:rsidRPr="00C01B18" w:rsidP="00C01B18">
            <w:pPr>
              <w:pStyle w:val="ListBullet"/>
            </w:pPr>
            <w:r w:rsidRPr="00C01B18">
              <w:t>metal Halide and</w:t>
            </w:r>
            <w:r w:rsidRPr="00C01B18">
              <w:t xml:space="preserve"> high-pressure sodium (HPS) lighting and circuits, including capacitor, poor connection, igniter and ballast</w:t>
            </w:r>
          </w:p>
          <w:p w:rsidR="00000000" w:rsidRPr="00C01B18" w:rsidP="00C01B18">
            <w:pPr>
              <w:pStyle w:val="ListBullet"/>
            </w:pPr>
            <w:r w:rsidRPr="00C01B18">
              <w:t>extra-low voltage (ELV) lighting devices, including transformer (iron core or electronic), voltage drop, heat, over-voltage, poor connections and i</w:t>
            </w:r>
            <w:r w:rsidRPr="00C01B18">
              <w:t>ncompatible dimmers</w:t>
            </w:r>
          </w:p>
          <w:p w:rsidR="00000000" w:rsidRPr="00C01B18" w:rsidP="00C01B18">
            <w:pPr>
              <w:pStyle w:val="ListBullet"/>
            </w:pPr>
            <w:r w:rsidRPr="00C01B18">
              <w:t>lighting control circuits, including manual control, passive infra-red (PIR), dimmers, photo electric or day-light switches and time clocks</w:t>
            </w:r>
          </w:p>
          <w:p w:rsidR="00000000" w:rsidRPr="00C01B18" w:rsidP="00C01B18">
            <w:pPr>
              <w:pStyle w:val="ListBullet"/>
            </w:pPr>
            <w:r w:rsidRPr="00C01B18">
              <w:t>lighting management systems</w:t>
            </w:r>
          </w:p>
          <w:p w:rsidR="00000000" w:rsidP="00C01B18">
            <w:pPr>
              <w:pStyle w:val="BodyText"/>
              <w:rPr>
                <w:lang w:val="en-NZ"/>
              </w:rPr>
            </w:pPr>
          </w:p>
        </w:tc>
      </w:tr>
      <w:tr w:rsidTr="00C01B18">
        <w:tblPrEx>
          <w:tblW w:w="9286" w:type="dxa"/>
          <w:tblLayout w:type="fixed"/>
          <w:tblCellMar>
            <w:left w:w="62" w:type="dxa"/>
            <w:right w:w="62" w:type="dxa"/>
          </w:tblCellMar>
          <w:tblLook w:val="0000"/>
        </w:tblPrEx>
        <w:tc>
          <w:tcPr>
            <w:tcW w:w="2726" w:type="dxa"/>
            <w:tcBorders>
              <w:top w:val="nil"/>
              <w:left w:val="nil"/>
              <w:bottom w:val="nil"/>
              <w:right w:val="nil"/>
            </w:tcBorders>
            <w:tcMar>
              <w:top w:w="0" w:type="dxa"/>
              <w:left w:w="62" w:type="dxa"/>
              <w:bottom w:w="0" w:type="dxa"/>
              <w:right w:w="62" w:type="dxa"/>
            </w:tcMar>
          </w:tcPr>
          <w:p w:rsidR="00000000" w:rsidP="00C01B18">
            <w:pPr>
              <w:pStyle w:val="BodyText"/>
              <w:rPr>
                <w:lang w:val="en-NZ"/>
              </w:rPr>
            </w:pPr>
            <w:r w:rsidRPr="00C01B18">
              <w:rPr>
                <w:rStyle w:val="SpecialBold"/>
              </w:rPr>
              <w:t>Lighting circuits include two (2) or more of the following:</w:t>
            </w:r>
          </w:p>
        </w:tc>
        <w:tc>
          <w:tcPr>
            <w:tcW w:w="6560" w:type="dxa"/>
            <w:tcBorders>
              <w:top w:val="nil"/>
              <w:left w:val="nil"/>
              <w:bottom w:val="nil"/>
              <w:right w:val="nil"/>
            </w:tcBorders>
            <w:tcMar>
              <w:top w:w="0" w:type="dxa"/>
              <w:left w:w="62" w:type="dxa"/>
              <w:bottom w:w="0" w:type="dxa"/>
              <w:right w:w="62" w:type="dxa"/>
            </w:tcMar>
          </w:tcPr>
          <w:p w:rsidR="00000000" w:rsidRPr="00C01B18" w:rsidP="00C01B18">
            <w:pPr>
              <w:pStyle w:val="ListBullet"/>
            </w:pPr>
            <w:r w:rsidRPr="00C01B18">
              <w:t>singl</w:t>
            </w:r>
            <w:r w:rsidRPr="00C01B18">
              <w:t>e light controlled by a single switch</w:t>
            </w:r>
          </w:p>
          <w:p w:rsidR="00000000" w:rsidRPr="00C01B18" w:rsidP="00C01B18">
            <w:pPr>
              <w:pStyle w:val="ListBullet"/>
            </w:pPr>
            <w:r w:rsidRPr="00C01B18">
              <w:t>multiple lights controlled by a single switch</w:t>
            </w:r>
          </w:p>
          <w:p w:rsidR="00000000" w:rsidRPr="00C01B18" w:rsidP="00C01B18">
            <w:pPr>
              <w:pStyle w:val="ListBullet"/>
            </w:pPr>
            <w:r w:rsidRPr="00C01B18">
              <w:t>two and three-way switching using:</w:t>
            </w:r>
          </w:p>
          <w:p w:rsidR="00000000" w:rsidRPr="00C01B18" w:rsidP="00C01B18">
            <w:pPr>
              <w:pStyle w:val="ListBullet2"/>
            </w:pPr>
            <w:r w:rsidRPr="00C01B18">
              <w:t xml:space="preserve">loop at the light method </w:t>
            </w:r>
          </w:p>
          <w:p w:rsidR="00000000" w:rsidRPr="00C01B18" w:rsidP="00C01B18">
            <w:pPr>
              <w:pStyle w:val="ListBullet2"/>
            </w:pPr>
            <w:r w:rsidRPr="00C01B18">
              <w:t>loop at the switch method</w:t>
            </w:r>
          </w:p>
          <w:p w:rsidR="00000000" w:rsidP="00C01B18">
            <w:pPr>
              <w:pStyle w:val="BodyText"/>
              <w:rPr>
                <w:lang w:val="en-NZ"/>
              </w:rPr>
            </w:pPr>
          </w:p>
        </w:tc>
      </w:tr>
      <w:tr w:rsidTr="00C01B18">
        <w:tblPrEx>
          <w:tblW w:w="9286" w:type="dxa"/>
          <w:tblLayout w:type="fixed"/>
          <w:tblCellMar>
            <w:left w:w="62" w:type="dxa"/>
            <w:right w:w="62" w:type="dxa"/>
          </w:tblCellMar>
          <w:tblLook w:val="0000"/>
        </w:tblPrEx>
        <w:tc>
          <w:tcPr>
            <w:tcW w:w="2726" w:type="dxa"/>
            <w:tcBorders>
              <w:top w:val="nil"/>
              <w:left w:val="nil"/>
              <w:bottom w:val="nil"/>
              <w:right w:val="nil"/>
            </w:tcBorders>
            <w:tcMar>
              <w:top w:w="0" w:type="dxa"/>
              <w:left w:w="62" w:type="dxa"/>
              <w:bottom w:w="0" w:type="dxa"/>
              <w:right w:w="62" w:type="dxa"/>
            </w:tcMar>
          </w:tcPr>
          <w:p w:rsidR="00000000" w:rsidP="00C01B18">
            <w:pPr>
              <w:pStyle w:val="BodyText"/>
              <w:rPr>
                <w:lang w:val="en-NZ"/>
              </w:rPr>
            </w:pPr>
            <w:r w:rsidRPr="00C01B18">
              <w:rPr>
                <w:rStyle w:val="SpecialBold"/>
              </w:rPr>
              <w:t>Safe working practices include:</w:t>
            </w:r>
          </w:p>
        </w:tc>
        <w:tc>
          <w:tcPr>
            <w:tcW w:w="6560" w:type="dxa"/>
            <w:tcBorders>
              <w:top w:val="nil"/>
              <w:left w:val="nil"/>
              <w:bottom w:val="nil"/>
              <w:right w:val="nil"/>
            </w:tcBorders>
            <w:tcMar>
              <w:top w:w="0" w:type="dxa"/>
              <w:left w:w="62" w:type="dxa"/>
              <w:bottom w:w="0" w:type="dxa"/>
              <w:right w:w="62" w:type="dxa"/>
            </w:tcMar>
          </w:tcPr>
          <w:p w:rsidR="00000000" w:rsidRPr="00C01B18" w:rsidP="00C01B18">
            <w:pPr>
              <w:pStyle w:val="ListBullet"/>
            </w:pPr>
            <w:r w:rsidRPr="00C01B18">
              <w:t xml:space="preserve">demonstration of safe working practices and installation in accordance with industry established safe and sound practices </w:t>
            </w:r>
          </w:p>
        </w:tc>
      </w:tr>
    </w:tbl>
    <w:p w:rsidR="00000000" w:rsidRPr="00C01B18" w:rsidP="00C01B18">
      <w:pPr>
        <w:pStyle w:val="BodyText"/>
      </w:pPr>
    </w:p>
    <w:p w:rsidR="00000000" w:rsidRPr="00C01B18" w:rsidP="00C01B18">
      <w:pPr>
        <w:pStyle w:val="AllowPageBreak"/>
      </w:pPr>
    </w:p>
    <w:p w:rsidR="00000000" w:rsidRPr="00C01B18" w:rsidP="00C01B18">
      <w:pPr>
        <w:pStyle w:val="Heading1"/>
      </w:pPr>
      <w:bookmarkStart w:id="8" w:name="O_968696"/>
      <w:bookmarkEnd w:id="8"/>
      <w:r w:rsidRPr="00C01B18">
        <w:t>Unit Mapping Information</w:t>
      </w:r>
    </w:p>
    <w:p w:rsidR="00000000" w:rsidRPr="00C01B18" w:rsidP="005B4D7B">
      <w:pPr>
        <w:pStyle w:val="BodyText"/>
      </w:pPr>
      <w:r w:rsidRPr="00C01B18">
        <w:t>Release 2. Equivalent. Minor adjustments to reflect ERAC requirements for electrician licensing and revision of Essential Performance Capabilities.</w:t>
      </w:r>
    </w:p>
    <w:p w:rsidR="00000000" w:rsidRPr="00C01B18" w:rsidP="00C01B18">
      <w:pPr>
        <w:pStyle w:val="Heading1"/>
      </w:pPr>
      <w:bookmarkStart w:id="9" w:name="O_968705"/>
      <w:bookmarkEnd w:id="9"/>
      <w:r w:rsidRPr="00C01B18">
        <w:t>Links</w:t>
      </w:r>
    </w:p>
    <w:p w:rsidR="00000000" w:rsidRPr="00C01B18" w:rsidP="005B4D7B">
      <w:pPr>
        <w:pStyle w:val="BodyText"/>
      </w:pPr>
      <w:r w:rsidRPr="00C01B1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C38F7">
        <w:rPr>
          <w:rStyle w:val="Hyperlink"/>
        </w:rPr>
        <w:t>https://vetnet.gov.au/Pages/TrainingDocs.aspx?q=b7050d37-5fd0-4740-8f7d-3b7a49c10bb2</w:t>
      </w:r>
      <w:r>
        <w:fldChar w:fldCharType="end"/>
      </w:r>
    </w:p>
    <w:p w:rsidR="00000000" w:rsidRPr="00C01B18" w:rsidP="00C01B18"/>
    <w:sectPr w:rsidSect="00C01B1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B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B18" w:rsidRPr="005B4D7B" w:rsidP="005B4D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B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D7B" w:rsidP="00C01B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B4D7B" w:rsidP="00C01B1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B4D7B" w:rsidP="00C01B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B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D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1B18" w:rsidRPr="005B4D7B" w:rsidP="005B4D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B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D7B" w:rsidRPr="002D2AF8" w:rsidP="00C01B18">
    <w:pPr>
      <w:pStyle w:val="Header"/>
      <w:framePr w:wrap="around"/>
    </w:pPr>
    <w:r>
      <w:fldChar w:fldCharType="begin"/>
    </w:r>
    <w:r>
      <w:instrText xml:space="preserve"> TITLE   \* MERGEFORMAT </w:instrText>
    </w:r>
    <w:r>
      <w:fldChar w:fldCharType="separate"/>
    </w:r>
    <w:r>
      <w:t>MEM10024 Install and troubleshoot luminaires and ancillary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5B4D7B" w:rsidP="00C01B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C8FD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DEA6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CAAB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1B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1B18"/>
    <w:pPr>
      <w:spacing w:before="360" w:after="60"/>
      <w:outlineLvl w:val="0"/>
    </w:pPr>
    <w:rPr>
      <w:sz w:val="32"/>
    </w:rPr>
  </w:style>
  <w:style w:type="paragraph" w:styleId="Heading2">
    <w:name w:val="heading 2"/>
    <w:basedOn w:val="HeadingBase"/>
    <w:next w:val="BodyText"/>
    <w:link w:val="Heading2Char"/>
    <w:qFormat/>
    <w:rsid w:val="00C01B18"/>
    <w:pPr>
      <w:keepLines/>
      <w:spacing w:before="240" w:after="120"/>
      <w:outlineLvl w:val="1"/>
    </w:pPr>
    <w:rPr>
      <w:sz w:val="28"/>
      <w:szCs w:val="40"/>
    </w:rPr>
  </w:style>
  <w:style w:type="paragraph" w:styleId="Heading3">
    <w:name w:val="heading 3"/>
    <w:basedOn w:val="HeadingBase"/>
    <w:next w:val="BodyText"/>
    <w:link w:val="Heading3Char"/>
    <w:qFormat/>
    <w:rsid w:val="00C01B18"/>
    <w:pPr>
      <w:spacing w:before="180" w:after="120"/>
      <w:outlineLvl w:val="2"/>
    </w:pPr>
    <w:rPr>
      <w:spacing w:val="-10"/>
      <w:kern w:val="32"/>
    </w:rPr>
  </w:style>
  <w:style w:type="paragraph" w:styleId="Heading4">
    <w:name w:val="heading 4"/>
    <w:basedOn w:val="HeadingBase"/>
    <w:next w:val="BodyText"/>
    <w:link w:val="Heading4Char"/>
    <w:qFormat/>
    <w:rsid w:val="00C01B18"/>
    <w:pPr>
      <w:spacing w:before="160" w:after="120"/>
      <w:outlineLvl w:val="3"/>
    </w:pPr>
    <w:rPr>
      <w:sz w:val="22"/>
    </w:rPr>
  </w:style>
  <w:style w:type="paragraph" w:styleId="Heading5">
    <w:name w:val="heading 5"/>
    <w:basedOn w:val="HeadingBase"/>
    <w:next w:val="Normal"/>
    <w:link w:val="Heading5Char"/>
    <w:qFormat/>
    <w:rsid w:val="00C01B18"/>
    <w:pPr>
      <w:spacing w:before="80"/>
      <w:outlineLvl w:val="4"/>
    </w:pPr>
    <w:rPr>
      <w:color w:val="918585"/>
      <w:sz w:val="20"/>
    </w:rPr>
  </w:style>
  <w:style w:type="paragraph" w:styleId="Heading6">
    <w:name w:val="heading 6"/>
    <w:basedOn w:val="HeadingBase"/>
    <w:next w:val="Normal"/>
    <w:link w:val="Heading6Char"/>
    <w:qFormat/>
    <w:rsid w:val="00C01B18"/>
    <w:pPr>
      <w:spacing w:before="60"/>
      <w:outlineLvl w:val="5"/>
    </w:pPr>
    <w:rPr>
      <w:color w:val="918585"/>
      <w:sz w:val="20"/>
    </w:rPr>
  </w:style>
  <w:style w:type="paragraph" w:styleId="Heading7">
    <w:name w:val="heading 7"/>
    <w:basedOn w:val="Normal"/>
    <w:next w:val="Normal"/>
    <w:link w:val="Heading7Char"/>
    <w:qFormat/>
    <w:rsid w:val="00C01B18"/>
    <w:pPr>
      <w:ind w:left="720"/>
      <w:outlineLvl w:val="6"/>
    </w:pPr>
    <w:rPr>
      <w:i/>
    </w:rPr>
  </w:style>
  <w:style w:type="paragraph" w:styleId="Heading8">
    <w:name w:val="heading 8"/>
    <w:basedOn w:val="Normal"/>
    <w:next w:val="Normal"/>
    <w:link w:val="Heading8Char"/>
    <w:qFormat/>
    <w:rsid w:val="00C01B18"/>
    <w:pPr>
      <w:ind w:left="720"/>
      <w:outlineLvl w:val="7"/>
    </w:pPr>
    <w:rPr>
      <w:i/>
    </w:rPr>
  </w:style>
  <w:style w:type="paragraph" w:styleId="Heading9">
    <w:name w:val="heading 9"/>
    <w:basedOn w:val="Normal"/>
    <w:next w:val="Normal"/>
    <w:link w:val="Heading9Char"/>
    <w:qFormat/>
    <w:rsid w:val="00C01B18"/>
    <w:pPr>
      <w:ind w:left="720"/>
      <w:outlineLvl w:val="8"/>
    </w:pPr>
    <w:rPr>
      <w:i/>
    </w:rPr>
  </w:style>
  <w:style w:type="character" w:default="1" w:styleId="DefaultParagraphFont">
    <w:name w:val="Default Paragraph Font"/>
    <w:uiPriority w:val="1"/>
    <w:unhideWhenUsed/>
    <w:rsid w:val="00C01B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1B18"/>
  </w:style>
  <w:style w:type="character" w:customStyle="1" w:styleId="Heading1Char">
    <w:name w:val="Heading 1 Char"/>
    <w:basedOn w:val="DefaultParagraphFont"/>
    <w:link w:val="Heading1"/>
    <w:rsid w:val="00C01B18"/>
    <w:rPr>
      <w:rFonts w:ascii="Times New Roman" w:eastAsia="Times New Roman" w:hAnsi="Times New Roman" w:cs="Times New Roman"/>
      <w:b/>
      <w:sz w:val="32"/>
      <w:szCs w:val="20"/>
      <w:lang w:eastAsia="en-US"/>
    </w:rPr>
  </w:style>
  <w:style w:type="paragraph" w:styleId="BodyText">
    <w:name w:val="Body Text"/>
    <w:basedOn w:val="Normal"/>
    <w:link w:val="BodyTextChar"/>
    <w:rsid w:val="00C01B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1B18"/>
    <w:rPr>
      <w:rFonts w:ascii="Times New Roman" w:eastAsia="Times New Roman" w:hAnsi="Times New Roman" w:cs="Times New Roman"/>
      <w:sz w:val="24"/>
      <w:lang w:eastAsia="en-US"/>
    </w:rPr>
  </w:style>
  <w:style w:type="paragraph" w:styleId="ListBullet">
    <w:name w:val="List Bullet"/>
    <w:basedOn w:val="List"/>
    <w:rsid w:val="00C01B18"/>
    <w:pPr>
      <w:numPr>
        <w:numId w:val="12"/>
      </w:numPr>
      <w:tabs>
        <w:tab w:val="clear" w:pos="340"/>
      </w:tabs>
      <w:spacing w:before="40" w:after="40"/>
    </w:pPr>
  </w:style>
  <w:style w:type="character" w:customStyle="1" w:styleId="SpecialBold">
    <w:name w:val="Special Bold"/>
    <w:basedOn w:val="DefaultParagraphFont"/>
    <w:rsid w:val="00C01B18"/>
    <w:rPr>
      <w:b/>
      <w:spacing w:val="0"/>
    </w:rPr>
  </w:style>
  <w:style w:type="paragraph" w:styleId="ListBullet2">
    <w:name w:val="List Bullet 2"/>
    <w:basedOn w:val="List2"/>
    <w:rsid w:val="00C01B18"/>
    <w:pPr>
      <w:numPr>
        <w:numId w:val="13"/>
      </w:numPr>
      <w:tabs>
        <w:tab w:val="clear" w:pos="680"/>
      </w:tabs>
    </w:pPr>
  </w:style>
  <w:style w:type="paragraph" w:customStyle="1" w:styleId="SuperHeading">
    <w:name w:val="SuperHeading"/>
    <w:basedOn w:val="Normal"/>
    <w:rsid w:val="00C01B18"/>
    <w:pPr>
      <w:spacing w:before="240" w:after="120"/>
      <w:outlineLvl w:val="0"/>
    </w:pPr>
    <w:rPr>
      <w:rFonts w:ascii="Times New Roman" w:hAnsi="Times New Roman"/>
      <w:b/>
      <w:sz w:val="32"/>
    </w:rPr>
  </w:style>
  <w:style w:type="paragraph" w:customStyle="1" w:styleId="AllowPageBreak">
    <w:name w:val="AllowPageBreak"/>
    <w:rsid w:val="00C01B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1B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1B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1B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1B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1B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1B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1B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1B18"/>
    <w:rPr>
      <w:rFonts w:ascii="Courier New" w:eastAsia="Times New Roman" w:hAnsi="Courier New" w:cs="Times New Roman"/>
      <w:i/>
      <w:szCs w:val="20"/>
      <w:lang w:eastAsia="en-US"/>
    </w:rPr>
  </w:style>
  <w:style w:type="paragraph" w:customStyle="1" w:styleId="HeadingBase">
    <w:name w:val="Heading Base"/>
    <w:rsid w:val="00C01B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1B18"/>
    <w:pPr>
      <w:tabs>
        <w:tab w:val="right" w:leader="dot" w:pos="9072"/>
      </w:tabs>
      <w:ind w:left="567"/>
    </w:pPr>
    <w:rPr>
      <w:szCs w:val="22"/>
    </w:rPr>
  </w:style>
  <w:style w:type="paragraph" w:customStyle="1" w:styleId="TOCBase">
    <w:name w:val="TOC Base"/>
    <w:rsid w:val="00C01B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1B18"/>
    <w:pPr>
      <w:tabs>
        <w:tab w:val="right" w:leader="dot" w:pos="9072"/>
      </w:tabs>
      <w:spacing w:before="40" w:after="40"/>
      <w:ind w:left="284"/>
    </w:pPr>
    <w:rPr>
      <w:rFonts w:ascii="Times New Roman" w:hAnsi="Times New Roman"/>
    </w:rPr>
  </w:style>
  <w:style w:type="paragraph" w:styleId="TOC1">
    <w:name w:val="toc 1"/>
    <w:basedOn w:val="TOCBase"/>
    <w:next w:val="Normal"/>
    <w:rsid w:val="00C01B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1B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1B18"/>
    <w:rPr>
      <w:rFonts w:ascii="Times New Roman" w:eastAsia="Times New Roman" w:hAnsi="Times New Roman" w:cs="Times New Roman"/>
      <w:sz w:val="16"/>
      <w:lang w:eastAsia="en-US"/>
    </w:rPr>
  </w:style>
  <w:style w:type="paragraph" w:styleId="Title">
    <w:name w:val="Title"/>
    <w:basedOn w:val="HeadingBase"/>
    <w:link w:val="TitleChar"/>
    <w:qFormat/>
    <w:rsid w:val="00C01B18"/>
    <w:pPr>
      <w:spacing w:before="5040"/>
      <w:jc w:val="center"/>
    </w:pPr>
    <w:rPr>
      <w:sz w:val="48"/>
      <w:szCs w:val="72"/>
      <w:lang w:val="en-US"/>
    </w:rPr>
  </w:style>
  <w:style w:type="character" w:customStyle="1" w:styleId="TitleChar">
    <w:name w:val="Title Char"/>
    <w:basedOn w:val="DefaultParagraphFont"/>
    <w:link w:val="Title"/>
    <w:rsid w:val="00C01B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1B18"/>
    <w:pPr>
      <w:tabs>
        <w:tab w:val="left" w:pos="3600"/>
        <w:tab w:val="left" w:pos="3958"/>
      </w:tabs>
    </w:pPr>
  </w:style>
  <w:style w:type="paragraph" w:styleId="List">
    <w:name w:val="List"/>
    <w:basedOn w:val="BodyText"/>
    <w:next w:val="BodyText"/>
    <w:rsid w:val="00C01B18"/>
    <w:pPr>
      <w:tabs>
        <w:tab w:val="left" w:pos="340"/>
      </w:tabs>
      <w:spacing w:before="60" w:after="60"/>
      <w:ind w:left="340" w:hanging="340"/>
    </w:pPr>
  </w:style>
  <w:style w:type="paragraph" w:customStyle="1" w:styleId="Note">
    <w:name w:val="Note"/>
    <w:basedOn w:val="BodyText"/>
    <w:rsid w:val="00C01B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1B18"/>
    <w:pPr>
      <w:framePr w:wrap="auto" w:hAnchor="text" w:y="6049"/>
    </w:pPr>
    <w:rPr>
      <w:color w:val="000000"/>
      <w:sz w:val="40"/>
    </w:rPr>
  </w:style>
  <w:style w:type="paragraph" w:customStyle="1" w:styleId="TOCTitle">
    <w:name w:val="TOCTitle"/>
    <w:basedOn w:val="Heading1"/>
    <w:rsid w:val="00C01B18"/>
    <w:pPr>
      <w:spacing w:after="240"/>
      <w:jc w:val="center"/>
      <w:outlineLvl w:val="9"/>
    </w:pPr>
    <w:rPr>
      <w:caps/>
    </w:rPr>
  </w:style>
  <w:style w:type="paragraph" w:customStyle="1" w:styleId="Version">
    <w:name w:val="Version"/>
    <w:rsid w:val="00C01B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1B18"/>
    <w:pPr>
      <w:keepNext w:val="0"/>
      <w:tabs>
        <w:tab w:val="right" w:pos="4176"/>
      </w:tabs>
      <w:ind w:left="198" w:hanging="198"/>
    </w:pPr>
    <w:rPr>
      <w:rFonts w:ascii="Garamond" w:hAnsi="Garamond"/>
    </w:rPr>
  </w:style>
  <w:style w:type="paragraph" w:styleId="IndexHeading">
    <w:name w:val="index heading"/>
    <w:basedOn w:val="Normal"/>
    <w:next w:val="Index1"/>
    <w:semiHidden/>
    <w:rsid w:val="00C01B18"/>
    <w:pPr>
      <w:spacing w:before="120" w:after="120"/>
    </w:pPr>
    <w:rPr>
      <w:rFonts w:ascii="Arial" w:hAnsi="Arial"/>
      <w:b/>
      <w:color w:val="918585"/>
      <w:sz w:val="24"/>
    </w:rPr>
  </w:style>
  <w:style w:type="paragraph" w:styleId="Header">
    <w:name w:val="header"/>
    <w:basedOn w:val="Normal"/>
    <w:link w:val="HeaderChar"/>
    <w:rsid w:val="00C01B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1B18"/>
    <w:rPr>
      <w:rFonts w:ascii="Times New Roman" w:eastAsia="Times New Roman" w:hAnsi="Times New Roman" w:cs="Times New Roman"/>
      <w:sz w:val="16"/>
      <w:szCs w:val="20"/>
      <w:lang w:val="en-GB" w:eastAsia="en-US"/>
    </w:rPr>
  </w:style>
  <w:style w:type="paragraph" w:customStyle="1" w:styleId="Chapter">
    <w:name w:val="Chapter"/>
    <w:basedOn w:val="Normal"/>
    <w:rsid w:val="00C01B18"/>
    <w:pPr>
      <w:spacing w:before="240"/>
    </w:pPr>
    <w:rPr>
      <w:rFonts w:ascii="Times New Roman" w:hAnsi="Times New Roman"/>
      <w:smallCaps/>
      <w:spacing w:val="80"/>
      <w:sz w:val="28"/>
    </w:rPr>
  </w:style>
  <w:style w:type="paragraph" w:customStyle="1" w:styleId="InChapter">
    <w:name w:val="InChapter"/>
    <w:basedOn w:val="Heading3"/>
    <w:rsid w:val="00C01B18"/>
    <w:pPr>
      <w:spacing w:after="240"/>
      <w:outlineLvl w:val="9"/>
    </w:pPr>
    <w:rPr>
      <w:noProof/>
    </w:rPr>
  </w:style>
  <w:style w:type="paragraph" w:styleId="Index2">
    <w:name w:val="index 2"/>
    <w:basedOn w:val="Normal"/>
    <w:next w:val="Normal"/>
    <w:semiHidden/>
    <w:rsid w:val="00C01B18"/>
    <w:pPr>
      <w:tabs>
        <w:tab w:val="right" w:pos="4176"/>
      </w:tabs>
      <w:ind w:left="568" w:hanging="284"/>
    </w:pPr>
    <w:rPr>
      <w:rFonts w:ascii="Garamond" w:hAnsi="Garamond"/>
    </w:rPr>
  </w:style>
  <w:style w:type="paragraph" w:customStyle="1" w:styleId="Byline">
    <w:name w:val="Byline"/>
    <w:rsid w:val="00C01B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1B18"/>
    <w:pPr>
      <w:tabs>
        <w:tab w:val="clear" w:pos="3600"/>
        <w:tab w:val="clear" w:pos="3958"/>
      </w:tabs>
      <w:jc w:val="right"/>
    </w:pPr>
  </w:style>
  <w:style w:type="character" w:styleId="Emphasis">
    <w:name w:val="Emphasis"/>
    <w:basedOn w:val="DefaultParagraphFont"/>
    <w:qFormat/>
    <w:rsid w:val="00C01B18"/>
    <w:rPr>
      <w:i/>
    </w:rPr>
  </w:style>
  <w:style w:type="paragraph" w:styleId="Caption">
    <w:name w:val="caption"/>
    <w:basedOn w:val="BodyText"/>
    <w:next w:val="Normal"/>
    <w:qFormat/>
    <w:rsid w:val="00C01B18"/>
    <w:pPr>
      <w:framePr w:w="2268" w:hSpace="181" w:vSpace="181" w:wrap="around" w:vAnchor="text" w:hAnchor="page" w:x="1135" w:y="285" w:anchorLock="1"/>
    </w:pPr>
    <w:rPr>
      <w:i/>
    </w:rPr>
  </w:style>
  <w:style w:type="paragraph" w:customStyle="1" w:styleId="MiniTOCTitle">
    <w:name w:val="MiniTOCTitle"/>
    <w:basedOn w:val="Heading4"/>
    <w:rsid w:val="00C01B18"/>
    <w:pPr>
      <w:spacing w:before="240"/>
      <w:outlineLvl w:val="9"/>
    </w:pPr>
    <w:rPr>
      <w:noProof/>
      <w:sz w:val="24"/>
    </w:rPr>
  </w:style>
  <w:style w:type="paragraph" w:customStyle="1" w:styleId="MiniTOCItem">
    <w:name w:val="MiniTOCItem"/>
    <w:basedOn w:val="ListBullet"/>
    <w:rsid w:val="00C01B18"/>
    <w:pPr>
      <w:numPr>
        <w:numId w:val="0"/>
      </w:numPr>
      <w:tabs>
        <w:tab w:val="right" w:leader="dot" w:pos="6521"/>
      </w:tabs>
      <w:spacing w:before="0" w:after="0"/>
    </w:pPr>
  </w:style>
  <w:style w:type="paragraph" w:customStyle="1" w:styleId="TOFTitle">
    <w:name w:val="TOFTitle"/>
    <w:basedOn w:val="TOCTitle"/>
    <w:rsid w:val="00C01B18"/>
  </w:style>
  <w:style w:type="paragraph" w:styleId="TableofFigures">
    <w:name w:val="table of figures"/>
    <w:basedOn w:val="Normal"/>
    <w:next w:val="Normal"/>
    <w:semiHidden/>
    <w:rsid w:val="00C01B18"/>
    <w:pPr>
      <w:tabs>
        <w:tab w:val="right" w:leader="dot" w:pos="9072"/>
      </w:tabs>
      <w:ind w:left="970" w:hanging="403"/>
    </w:pPr>
    <w:rPr>
      <w:rFonts w:ascii="Times New Roman" w:hAnsi="Times New Roman"/>
      <w:b/>
    </w:rPr>
  </w:style>
  <w:style w:type="paragraph" w:styleId="ListNumber">
    <w:name w:val="List Number"/>
    <w:basedOn w:val="List"/>
    <w:rsid w:val="00C01B18"/>
    <w:pPr>
      <w:numPr>
        <w:numId w:val="15"/>
      </w:numPr>
      <w:tabs>
        <w:tab w:val="clear" w:pos="340"/>
      </w:tabs>
    </w:pPr>
  </w:style>
  <w:style w:type="character" w:customStyle="1" w:styleId="WingdingSymbols">
    <w:name w:val="Wingding Symbols"/>
    <w:rsid w:val="00C01B18"/>
    <w:rPr>
      <w:rFonts w:ascii="Wingdings" w:hAnsi="Wingdings"/>
    </w:rPr>
  </w:style>
  <w:style w:type="paragraph" w:customStyle="1" w:styleId="TableHeading">
    <w:name w:val="Table Heading"/>
    <w:basedOn w:val="HeadingBase"/>
    <w:rsid w:val="00C01B18"/>
    <w:pPr>
      <w:keepLines/>
      <w:pBdr>
        <w:bottom w:val="single" w:sz="6" w:space="1" w:color="918585"/>
      </w:pBdr>
      <w:spacing w:before="240"/>
    </w:pPr>
  </w:style>
  <w:style w:type="character" w:customStyle="1" w:styleId="HotSpot">
    <w:name w:val="HotSpot"/>
    <w:rsid w:val="00C01B18"/>
    <w:rPr>
      <w:color w:val="0033CC"/>
      <w:u w:val="none"/>
    </w:rPr>
  </w:style>
  <w:style w:type="paragraph" w:customStyle="1" w:styleId="BodyTextRight">
    <w:name w:val="Body Text Right"/>
    <w:basedOn w:val="BodyText"/>
    <w:rsid w:val="00C01B18"/>
    <w:pPr>
      <w:spacing w:before="0" w:after="0"/>
      <w:jc w:val="right"/>
    </w:pPr>
  </w:style>
  <w:style w:type="paragraph" w:styleId="Index3">
    <w:name w:val="index 3"/>
    <w:basedOn w:val="ListNumber2"/>
    <w:next w:val="Normal"/>
    <w:semiHidden/>
    <w:rsid w:val="00C01B18"/>
    <w:pPr>
      <w:numPr>
        <w:numId w:val="0"/>
      </w:numPr>
      <w:tabs>
        <w:tab w:val="right" w:leader="dot" w:pos="4176"/>
      </w:tabs>
    </w:pPr>
  </w:style>
  <w:style w:type="paragraph" w:styleId="ListNumber2">
    <w:name w:val="List Number 2"/>
    <w:basedOn w:val="List2"/>
    <w:rsid w:val="00C01B18"/>
    <w:pPr>
      <w:numPr>
        <w:numId w:val="10"/>
      </w:numPr>
      <w:tabs>
        <w:tab w:val="clear" w:pos="1060"/>
      </w:tabs>
    </w:pPr>
  </w:style>
  <w:style w:type="paragraph" w:customStyle="1" w:styleId="MarginNote">
    <w:name w:val="Margin Note"/>
    <w:basedOn w:val="BodyText"/>
    <w:rsid w:val="00C01B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1B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1B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1B18"/>
    <w:rPr>
      <w:sz w:val="32"/>
    </w:rPr>
  </w:style>
  <w:style w:type="paragraph" w:customStyle="1" w:styleId="HeadingProcedure">
    <w:name w:val="Heading Procedure"/>
    <w:basedOn w:val="HeadingBase"/>
    <w:next w:val="Normal"/>
    <w:rsid w:val="00C01B18"/>
    <w:pPr>
      <w:tabs>
        <w:tab w:val="left" w:pos="0"/>
      </w:tabs>
      <w:spacing w:before="120" w:after="60"/>
    </w:pPr>
    <w:rPr>
      <w:i/>
      <w:color w:val="918585"/>
      <w:sz w:val="22"/>
    </w:rPr>
  </w:style>
  <w:style w:type="paragraph" w:customStyle="1" w:styleId="TableBodyText">
    <w:name w:val="Table Body Text"/>
    <w:basedOn w:val="BodyText"/>
    <w:rsid w:val="00C01B18"/>
    <w:pPr>
      <w:spacing w:before="60" w:after="60"/>
    </w:pPr>
  </w:style>
  <w:style w:type="paragraph" w:styleId="ListContinue">
    <w:name w:val="List Continue"/>
    <w:basedOn w:val="List"/>
    <w:rsid w:val="00C01B18"/>
    <w:pPr>
      <w:ind w:firstLine="0"/>
    </w:pPr>
  </w:style>
  <w:style w:type="paragraph" w:customStyle="1" w:styleId="ListNote">
    <w:name w:val="List Note"/>
    <w:basedOn w:val="List"/>
    <w:rsid w:val="00C01B18"/>
    <w:pPr>
      <w:pBdr>
        <w:top w:val="single" w:sz="6" w:space="2" w:color="918585"/>
        <w:bottom w:val="single" w:sz="6" w:space="2" w:color="918585"/>
      </w:pBdr>
      <w:tabs>
        <w:tab w:val="left" w:pos="1021"/>
      </w:tabs>
      <w:ind w:firstLine="0"/>
    </w:pPr>
  </w:style>
  <w:style w:type="paragraph" w:customStyle="1" w:styleId="Warning">
    <w:name w:val="Warning"/>
    <w:basedOn w:val="BodyText"/>
    <w:rsid w:val="00C01B18"/>
    <w:pPr>
      <w:shd w:val="clear" w:color="auto" w:fill="D9D9D9"/>
      <w:tabs>
        <w:tab w:val="left" w:pos="992"/>
      </w:tabs>
      <w:ind w:left="119" w:right="119"/>
    </w:pPr>
    <w:rPr>
      <w:sz w:val="20"/>
    </w:rPr>
  </w:style>
  <w:style w:type="paragraph" w:customStyle="1" w:styleId="MarginIcons">
    <w:name w:val="Margin Icons"/>
    <w:basedOn w:val="BodyText"/>
    <w:rsid w:val="00C01B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1B18"/>
    <w:rPr>
      <w:rFonts w:ascii="Courier New" w:hAnsi="Courier New"/>
    </w:rPr>
  </w:style>
  <w:style w:type="paragraph" w:customStyle="1" w:styleId="NoteBullet">
    <w:name w:val="Note Bullet"/>
    <w:basedOn w:val="Note"/>
    <w:rsid w:val="00C01B18"/>
    <w:pPr>
      <w:tabs>
        <w:tab w:val="clear" w:pos="680"/>
      </w:tabs>
      <w:spacing w:before="60" w:after="60"/>
    </w:pPr>
  </w:style>
  <w:style w:type="paragraph" w:customStyle="1" w:styleId="SubHeading2">
    <w:name w:val="SubHeading2"/>
    <w:basedOn w:val="HeadingBase"/>
    <w:rsid w:val="00C01B18"/>
    <w:pPr>
      <w:spacing w:before="240" w:after="60"/>
    </w:pPr>
    <w:rPr>
      <w:sz w:val="20"/>
    </w:rPr>
  </w:style>
  <w:style w:type="paragraph" w:customStyle="1" w:styleId="SubHeading1">
    <w:name w:val="SubHeading1"/>
    <w:basedOn w:val="HeadingBase"/>
    <w:rsid w:val="00C01B18"/>
    <w:pPr>
      <w:spacing w:before="240" w:after="60"/>
    </w:pPr>
    <w:rPr>
      <w:color w:val="918585"/>
      <w:sz w:val="22"/>
    </w:rPr>
  </w:style>
  <w:style w:type="paragraph" w:customStyle="1" w:styleId="SideHeading">
    <w:name w:val="Side Heading"/>
    <w:basedOn w:val="HeadingBase"/>
    <w:rsid w:val="00C01B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1B18"/>
    <w:pPr>
      <w:tabs>
        <w:tab w:val="num" w:pos="360"/>
      </w:tabs>
    </w:pPr>
  </w:style>
  <w:style w:type="paragraph" w:styleId="PlainText">
    <w:name w:val="Plain Text"/>
    <w:basedOn w:val="Normal"/>
    <w:link w:val="PlainTextChar"/>
    <w:rsid w:val="00C01B18"/>
    <w:rPr>
      <w:sz w:val="20"/>
    </w:rPr>
  </w:style>
  <w:style w:type="character" w:customStyle="1" w:styleId="PlainTextChar">
    <w:name w:val="Plain Text Char"/>
    <w:basedOn w:val="DefaultParagraphFont"/>
    <w:link w:val="PlainText"/>
    <w:rsid w:val="00C01B18"/>
    <w:rPr>
      <w:rFonts w:ascii="Courier New" w:eastAsia="Times New Roman" w:hAnsi="Courier New" w:cs="Times New Roman"/>
      <w:sz w:val="20"/>
      <w:szCs w:val="20"/>
      <w:lang w:eastAsia="en-US"/>
    </w:rPr>
  </w:style>
  <w:style w:type="character" w:customStyle="1" w:styleId="MenuOption">
    <w:name w:val="Menu Option"/>
    <w:basedOn w:val="DefaultParagraphFont"/>
    <w:rsid w:val="00C01B18"/>
    <w:rPr>
      <w:b/>
      <w:smallCaps/>
    </w:rPr>
  </w:style>
  <w:style w:type="paragraph" w:customStyle="1" w:styleId="TableListNumber">
    <w:name w:val="Table List Number"/>
    <w:basedOn w:val="ListNumber"/>
    <w:rsid w:val="00C01B18"/>
    <w:pPr>
      <w:numPr>
        <w:numId w:val="0"/>
      </w:numPr>
    </w:pPr>
  </w:style>
  <w:style w:type="paragraph" w:styleId="TOC4">
    <w:name w:val="toc 4"/>
    <w:basedOn w:val="TOCBase"/>
    <w:next w:val="Normal"/>
    <w:semiHidden/>
    <w:rsid w:val="00C01B18"/>
    <w:pPr>
      <w:tabs>
        <w:tab w:val="right" w:leader="dot" w:pos="9071"/>
      </w:tabs>
      <w:ind w:left="1701"/>
    </w:pPr>
  </w:style>
  <w:style w:type="paragraph" w:customStyle="1" w:styleId="ListAlpha">
    <w:name w:val="List Alpha"/>
    <w:basedOn w:val="List"/>
    <w:rsid w:val="00C01B18"/>
    <w:pPr>
      <w:numPr>
        <w:numId w:val="9"/>
      </w:numPr>
    </w:pPr>
  </w:style>
  <w:style w:type="paragraph" w:customStyle="1" w:styleId="ListAlpha2">
    <w:name w:val="List Alpha 2"/>
    <w:basedOn w:val="List2"/>
    <w:rsid w:val="00C01B18"/>
    <w:pPr>
      <w:numPr>
        <w:numId w:val="8"/>
      </w:numPr>
    </w:pPr>
  </w:style>
  <w:style w:type="paragraph" w:styleId="List2">
    <w:name w:val="List 2"/>
    <w:basedOn w:val="BodyText"/>
    <w:rsid w:val="00C01B18"/>
    <w:pPr>
      <w:tabs>
        <w:tab w:val="left" w:pos="680"/>
      </w:tabs>
      <w:spacing w:before="60" w:after="60"/>
      <w:ind w:left="680" w:hanging="340"/>
    </w:pPr>
  </w:style>
  <w:style w:type="paragraph" w:styleId="List3">
    <w:name w:val="List 3"/>
    <w:basedOn w:val="BodyText"/>
    <w:rsid w:val="00C01B18"/>
    <w:pPr>
      <w:tabs>
        <w:tab w:val="left" w:pos="1021"/>
      </w:tabs>
      <w:spacing w:before="60" w:after="60"/>
      <w:ind w:left="1020" w:hanging="340"/>
    </w:pPr>
  </w:style>
  <w:style w:type="paragraph" w:styleId="List4">
    <w:name w:val="List 4"/>
    <w:basedOn w:val="BodyText"/>
    <w:rsid w:val="00C01B18"/>
    <w:pPr>
      <w:tabs>
        <w:tab w:val="left" w:pos="1361"/>
      </w:tabs>
      <w:spacing w:before="60" w:after="60"/>
      <w:ind w:left="1361" w:hanging="340"/>
    </w:pPr>
  </w:style>
  <w:style w:type="paragraph" w:styleId="List5">
    <w:name w:val="List 5"/>
    <w:basedOn w:val="BodyText"/>
    <w:rsid w:val="00C01B18"/>
    <w:pPr>
      <w:tabs>
        <w:tab w:val="left" w:pos="1701"/>
      </w:tabs>
      <w:spacing w:before="60" w:after="60"/>
      <w:ind w:left="1701" w:hanging="340"/>
    </w:pPr>
  </w:style>
  <w:style w:type="paragraph" w:styleId="ListBullet3">
    <w:name w:val="List Bullet 3"/>
    <w:basedOn w:val="List3"/>
    <w:rsid w:val="00C01B18"/>
    <w:pPr>
      <w:numPr>
        <w:numId w:val="14"/>
      </w:numPr>
      <w:tabs>
        <w:tab w:val="clear" w:pos="1021"/>
      </w:tabs>
      <w:ind w:left="1037" w:hanging="357"/>
    </w:pPr>
  </w:style>
  <w:style w:type="paragraph" w:styleId="ListBullet4">
    <w:name w:val="List Bullet 4"/>
    <w:basedOn w:val="List4"/>
    <w:rsid w:val="00C01B18"/>
    <w:pPr>
      <w:numPr>
        <w:numId w:val="3"/>
      </w:numPr>
      <w:tabs>
        <w:tab w:val="clear" w:pos="1361"/>
      </w:tabs>
    </w:pPr>
  </w:style>
  <w:style w:type="paragraph" w:styleId="ListBullet5">
    <w:name w:val="List Bullet 5"/>
    <w:basedOn w:val="List5"/>
    <w:rsid w:val="00C01B18"/>
    <w:pPr>
      <w:numPr>
        <w:numId w:val="4"/>
      </w:numPr>
    </w:pPr>
  </w:style>
  <w:style w:type="paragraph" w:styleId="ListContinue2">
    <w:name w:val="List Continue 2"/>
    <w:basedOn w:val="List2"/>
    <w:rsid w:val="00C01B18"/>
    <w:pPr>
      <w:ind w:firstLine="0"/>
    </w:pPr>
  </w:style>
  <w:style w:type="paragraph" w:styleId="ListContinue3">
    <w:name w:val="List Continue 3"/>
    <w:basedOn w:val="List3"/>
    <w:rsid w:val="00C01B18"/>
    <w:pPr>
      <w:ind w:left="1021" w:firstLine="0"/>
    </w:pPr>
  </w:style>
  <w:style w:type="paragraph" w:styleId="ListContinue4">
    <w:name w:val="List Continue 4"/>
    <w:basedOn w:val="List4"/>
    <w:rsid w:val="00C01B18"/>
    <w:pPr>
      <w:ind w:firstLine="0"/>
    </w:pPr>
  </w:style>
  <w:style w:type="paragraph" w:styleId="ListContinue5">
    <w:name w:val="List Continue 5"/>
    <w:basedOn w:val="List5"/>
    <w:rsid w:val="00C01B18"/>
    <w:pPr>
      <w:ind w:firstLine="0"/>
    </w:pPr>
  </w:style>
  <w:style w:type="paragraph" w:styleId="ListNumber3">
    <w:name w:val="List Number 3"/>
    <w:basedOn w:val="List3"/>
    <w:rsid w:val="00C01B18"/>
    <w:pPr>
      <w:numPr>
        <w:numId w:val="5"/>
      </w:numPr>
    </w:pPr>
  </w:style>
  <w:style w:type="paragraph" w:styleId="ListNumber4">
    <w:name w:val="List Number 4"/>
    <w:basedOn w:val="List4"/>
    <w:rsid w:val="00C01B18"/>
    <w:pPr>
      <w:numPr>
        <w:numId w:val="6"/>
      </w:numPr>
    </w:pPr>
  </w:style>
  <w:style w:type="paragraph" w:styleId="ListNumber5">
    <w:name w:val="List Number 5"/>
    <w:basedOn w:val="List5"/>
    <w:rsid w:val="00C01B18"/>
    <w:pPr>
      <w:numPr>
        <w:numId w:val="7"/>
      </w:numPr>
    </w:pPr>
  </w:style>
  <w:style w:type="paragraph" w:styleId="BlockText">
    <w:name w:val="Block Text"/>
    <w:basedOn w:val="Normal"/>
    <w:rsid w:val="00C01B18"/>
    <w:pPr>
      <w:spacing w:after="120"/>
      <w:ind w:left="1440" w:right="1440"/>
    </w:pPr>
  </w:style>
  <w:style w:type="character" w:customStyle="1" w:styleId="Subscript">
    <w:name w:val="Subscript"/>
    <w:basedOn w:val="DefaultParagraphFont"/>
    <w:rsid w:val="00C01B18"/>
    <w:rPr>
      <w:sz w:val="16"/>
      <w:vertAlign w:val="subscript"/>
    </w:rPr>
  </w:style>
  <w:style w:type="character" w:customStyle="1" w:styleId="Superscript">
    <w:name w:val="Superscript"/>
    <w:basedOn w:val="DefaultParagraphFont"/>
    <w:rsid w:val="00C01B18"/>
    <w:rPr>
      <w:sz w:val="16"/>
      <w:vertAlign w:val="superscript"/>
    </w:rPr>
  </w:style>
  <w:style w:type="character" w:customStyle="1" w:styleId="Symbols">
    <w:name w:val="Symbols"/>
    <w:basedOn w:val="DefaultParagraphFont"/>
    <w:rsid w:val="00C01B18"/>
    <w:rPr>
      <w:rFonts w:ascii="Symbol" w:hAnsi="Symbol"/>
    </w:rPr>
  </w:style>
  <w:style w:type="character" w:customStyle="1" w:styleId="MenuOptions">
    <w:name w:val="Menu Options"/>
    <w:basedOn w:val="DefaultParagraphFont"/>
    <w:rsid w:val="00C01B18"/>
    <w:rPr>
      <w:rFonts w:ascii="Arial Narrow" w:hAnsi="Arial Narrow"/>
      <w:smallCaps/>
    </w:rPr>
  </w:style>
  <w:style w:type="character" w:customStyle="1" w:styleId="Buttons">
    <w:name w:val="Buttons"/>
    <w:basedOn w:val="DefaultParagraphFont"/>
    <w:rsid w:val="00C01B18"/>
    <w:rPr>
      <w:b/>
    </w:rPr>
  </w:style>
  <w:style w:type="character" w:customStyle="1" w:styleId="Underlined">
    <w:name w:val="Underlined"/>
    <w:basedOn w:val="DefaultParagraphFont"/>
    <w:rsid w:val="00C01B18"/>
    <w:rPr>
      <w:u w:val="single"/>
    </w:rPr>
  </w:style>
  <w:style w:type="paragraph" w:customStyle="1" w:styleId="TableBodyTextRight">
    <w:name w:val="Table Body Text Right"/>
    <w:basedOn w:val="TableBodyText"/>
    <w:rsid w:val="00C01B18"/>
    <w:pPr>
      <w:widowControl w:val="0"/>
      <w:autoSpaceDE w:val="0"/>
      <w:autoSpaceDN w:val="0"/>
      <w:adjustRightInd w:val="0"/>
      <w:jc w:val="right"/>
    </w:pPr>
    <w:rPr>
      <w:rFonts w:cs="Arial"/>
      <w:szCs w:val="18"/>
    </w:rPr>
  </w:style>
  <w:style w:type="paragraph" w:customStyle="1" w:styleId="CopyrightText">
    <w:name w:val="Copyright Text"/>
    <w:basedOn w:val="BodyText"/>
    <w:rsid w:val="00C01B18"/>
    <w:rPr>
      <w:sz w:val="18"/>
    </w:rPr>
  </w:style>
  <w:style w:type="paragraph" w:customStyle="1" w:styleId="BodySmallRight">
    <w:name w:val="Body Small Right"/>
    <w:basedOn w:val="BodyTextRight"/>
    <w:rsid w:val="00C01B18"/>
    <w:rPr>
      <w:sz w:val="18"/>
      <w:szCs w:val="18"/>
    </w:rPr>
  </w:style>
  <w:style w:type="paragraph" w:customStyle="1" w:styleId="MarginEdition">
    <w:name w:val="Margin Edition"/>
    <w:basedOn w:val="MarginNote"/>
    <w:rsid w:val="00C01B18"/>
    <w:pPr>
      <w:spacing w:before="0" w:after="0"/>
    </w:pPr>
    <w:rPr>
      <w:rFonts w:ascii="Times New Roman" w:hAnsi="Times New Roman"/>
      <w:color w:val="999999"/>
    </w:rPr>
  </w:style>
  <w:style w:type="paragraph" w:customStyle="1" w:styleId="Spacer">
    <w:name w:val="Spacer"/>
    <w:basedOn w:val="Normal"/>
    <w:rsid w:val="00C01B18"/>
    <w:rPr>
      <w:sz w:val="2"/>
      <w:szCs w:val="2"/>
    </w:rPr>
  </w:style>
  <w:style w:type="character" w:customStyle="1" w:styleId="Small">
    <w:name w:val="Small"/>
    <w:basedOn w:val="DefaultParagraphFont"/>
    <w:rsid w:val="00C01B18"/>
    <w:rPr>
      <w:sz w:val="16"/>
    </w:rPr>
  </w:style>
  <w:style w:type="paragraph" w:customStyle="1" w:styleId="WideTable">
    <w:name w:val="Wide Table"/>
    <w:basedOn w:val="Normal"/>
    <w:rsid w:val="00C01B18"/>
    <w:pPr>
      <w:ind w:left="-1418"/>
    </w:pPr>
    <w:rPr>
      <w:sz w:val="2"/>
      <w:szCs w:val="2"/>
    </w:rPr>
  </w:style>
  <w:style w:type="character" w:styleId="PageNumber">
    <w:name w:val="page number"/>
    <w:basedOn w:val="DefaultParagraphFont"/>
    <w:rsid w:val="00C01B18"/>
  </w:style>
  <w:style w:type="paragraph" w:styleId="Quote">
    <w:name w:val="Quote"/>
    <w:basedOn w:val="Heading1"/>
    <w:link w:val="QuoteChar"/>
    <w:qFormat/>
    <w:rsid w:val="00C01B18"/>
    <w:rPr>
      <w:b w:val="0"/>
      <w:sz w:val="72"/>
      <w:szCs w:val="72"/>
      <w:lang w:val="en-NZ"/>
    </w:rPr>
  </w:style>
  <w:style w:type="character" w:customStyle="1" w:styleId="QuoteChar">
    <w:name w:val="Quote Char"/>
    <w:basedOn w:val="DefaultParagraphFont"/>
    <w:link w:val="Quote"/>
    <w:rsid w:val="00C01B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1B18"/>
    <w:pPr>
      <w:pageBreakBefore/>
    </w:pPr>
  </w:style>
  <w:style w:type="paragraph" w:customStyle="1" w:styleId="Border">
    <w:name w:val="Border"/>
    <w:basedOn w:val="Normal"/>
    <w:qFormat/>
    <w:rsid w:val="00C01B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1B18"/>
    <w:rPr>
      <w:b/>
      <w:bCs/>
      <w:i/>
      <w:iCs/>
      <w:color w:val="auto"/>
    </w:rPr>
  </w:style>
  <w:style w:type="paragraph" w:styleId="IntenseQuote">
    <w:name w:val="Intense Quote"/>
    <w:basedOn w:val="Normal"/>
    <w:next w:val="Normal"/>
    <w:link w:val="IntenseQuoteChar"/>
    <w:uiPriority w:val="30"/>
    <w:qFormat/>
    <w:rsid w:val="00C01B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1B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1B18"/>
    <w:rPr>
      <w:smallCaps/>
      <w:color w:val="auto"/>
      <w:u w:val="single"/>
    </w:rPr>
  </w:style>
  <w:style w:type="character" w:styleId="IntenseReference">
    <w:name w:val="Intense Reference"/>
    <w:basedOn w:val="DefaultParagraphFont"/>
    <w:uiPriority w:val="32"/>
    <w:qFormat/>
    <w:rsid w:val="00C01B18"/>
    <w:rPr>
      <w:b/>
      <w:bCs/>
      <w:smallCaps/>
      <w:color w:val="auto"/>
      <w:spacing w:val="5"/>
      <w:u w:val="single"/>
    </w:rPr>
  </w:style>
  <w:style w:type="paragraph" w:customStyle="1" w:styleId="2ColumnHeading">
    <w:name w:val="2Column Heading"/>
    <w:basedOn w:val="BodyText"/>
    <w:qFormat/>
    <w:rsid w:val="00C01B18"/>
    <w:pPr>
      <w:spacing w:after="60"/>
      <w:ind w:left="-2268"/>
    </w:pPr>
    <w:rPr>
      <w:b/>
    </w:rPr>
  </w:style>
  <w:style w:type="paragraph" w:customStyle="1" w:styleId="Heading1TOC">
    <w:name w:val="Heading1 TOC"/>
    <w:basedOn w:val="Normal"/>
    <w:qFormat/>
    <w:rsid w:val="00C01B18"/>
    <w:pPr>
      <w:spacing w:before="240" w:after="120"/>
    </w:pPr>
    <w:rPr>
      <w:rFonts w:ascii="Times New Roman" w:hAnsi="Times New Roman"/>
      <w:b/>
      <w:sz w:val="32"/>
    </w:rPr>
  </w:style>
  <w:style w:type="paragraph" w:customStyle="1" w:styleId="Heading2TOC">
    <w:name w:val="Heading2 TOC"/>
    <w:basedOn w:val="Normal"/>
    <w:qFormat/>
    <w:rsid w:val="00C01B18"/>
    <w:pPr>
      <w:spacing w:before="240" w:after="60"/>
    </w:pPr>
    <w:rPr>
      <w:rFonts w:ascii="Times New Roman" w:hAnsi="Times New Roman"/>
      <w:b/>
      <w:sz w:val="28"/>
    </w:rPr>
  </w:style>
  <w:style w:type="character" w:customStyle="1" w:styleId="Underline">
    <w:name w:val="Underline"/>
    <w:basedOn w:val="DefaultParagraphFont"/>
    <w:qFormat/>
    <w:rsid w:val="00C01B18"/>
    <w:rPr>
      <w:u w:val="single"/>
    </w:rPr>
  </w:style>
  <w:style w:type="character" w:customStyle="1" w:styleId="BoldandItalics">
    <w:name w:val="Bold and Italics"/>
    <w:qFormat/>
    <w:rsid w:val="00C01B18"/>
    <w:rPr>
      <w:b/>
      <w:i/>
      <w:u w:val="none"/>
    </w:rPr>
  </w:style>
  <w:style w:type="paragraph" w:styleId="BalloonText">
    <w:name w:val="Balloon Text"/>
    <w:basedOn w:val="Normal"/>
    <w:link w:val="BalloonTextChar"/>
    <w:rsid w:val="00C01B18"/>
    <w:rPr>
      <w:rFonts w:ascii="Tahoma" w:hAnsi="Tahoma" w:cs="Tahoma"/>
      <w:sz w:val="16"/>
      <w:szCs w:val="16"/>
    </w:rPr>
  </w:style>
  <w:style w:type="character" w:customStyle="1" w:styleId="BalloonTextChar">
    <w:name w:val="Balloon Text Char"/>
    <w:basedOn w:val="DefaultParagraphFont"/>
    <w:link w:val="BalloonText"/>
    <w:rsid w:val="00C01B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1B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1B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1B18"/>
    <w:rPr>
      <w:b/>
      <w:color w:val="660033"/>
      <w:spacing w:val="0"/>
    </w:rPr>
  </w:style>
  <w:style w:type="paragraph" w:customStyle="1" w:styleId="Nameditemlist">
    <w:name w:val="Named item list"/>
    <w:basedOn w:val="BodyText"/>
    <w:qFormat/>
    <w:rsid w:val="00C01B18"/>
    <w:pPr>
      <w:tabs>
        <w:tab w:val="left" w:pos="2835"/>
      </w:tabs>
      <w:ind w:left="2835" w:hanging="2835"/>
    </w:pPr>
  </w:style>
  <w:style w:type="paragraph" w:customStyle="1" w:styleId="BodyTextnopadding">
    <w:name w:val="Body Text no padding"/>
    <w:basedOn w:val="BodyText"/>
    <w:qFormat/>
    <w:rsid w:val="00C01B18"/>
    <w:pPr>
      <w:spacing w:before="0" w:after="0"/>
    </w:pPr>
  </w:style>
  <w:style w:type="paragraph" w:customStyle="1" w:styleId="BodyTextBold">
    <w:name w:val="Body Text Bold"/>
    <w:basedOn w:val="BodyText"/>
    <w:qFormat/>
    <w:rsid w:val="00C01B18"/>
    <w:rPr>
      <w:b/>
    </w:rPr>
  </w:style>
  <w:style w:type="character" w:styleId="Hyperlink">
    <w:name w:val="Hyperlink"/>
    <w:basedOn w:val="DefaultParagraphFont"/>
    <w:uiPriority w:val="99"/>
    <w:unhideWhenUsed/>
    <w:rsid w:val="005B4D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853</Words>
  <Characters>5718</Characters>
  <Application>Microsoft Office Word</Application>
  <DocSecurity>0</DocSecurity>
  <Lines>228</Lines>
  <Paragraphs>117</Paragraphs>
  <ScaleCrop>false</ScaleCrop>
  <Company>Author-it Software Corporation Ltd.</Company>
  <LinksUpToDate>false</LinksUpToDate>
  <CharactersWithSpaces>6454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MEM10024 Install and troubleshoot luminaires and ancillary equipment</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2023-02-03T06:41:00Z</dcterms:created>
  <dcterms:modified xsi:type="dcterms:W3CDTF">2023-02-03T06:41:00Z</dcterms:modified>
</cp:coreProperties>
</file>