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752" w:rsidP="00DC6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MEM10024 Install and troubleshoot luminaires and ancillary equipment</w:t>
      </w:r>
      <w:r>
        <w:fldChar w:fldCharType="end"/>
      </w:r>
    </w:p>
    <w:p w:rsidR="00DC6752" w:rsidP="00DC6752">
      <w:pPr>
        <w:pStyle w:val="Version"/>
        <w:sectPr w:rsidSect="003409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409B0" w:rsidP="003409B0">
      <w:pPr>
        <w:pStyle w:val="SuperHeading"/>
      </w:pPr>
      <w:r w:rsidRPr="003409B0">
        <w:t>MEM10024 Install and troubleshoot luminaires and ancillary equipment</w:t>
      </w:r>
    </w:p>
    <w:p w:rsidR="00000000" w:rsidRPr="003409B0" w:rsidP="003409B0">
      <w:pPr>
        <w:pStyle w:val="Heading1"/>
      </w:pPr>
      <w:bookmarkStart w:id="1" w:name="O_968704"/>
      <w:bookmarkEnd w:id="1"/>
      <w:r w:rsidRPr="003409B0">
        <w:t>Modification History</w:t>
      </w:r>
    </w:p>
    <w:p w:rsidR="00000000" w:rsidRPr="003409B0" w:rsidP="00DC6752">
      <w:pPr>
        <w:pStyle w:val="Heading3"/>
      </w:pPr>
      <w:r w:rsidRPr="003409B0">
        <w:t>Release 3. Prerequisite units updated</w:t>
      </w:r>
    </w:p>
    <w:p w:rsidR="00000000" w:rsidRPr="003409B0" w:rsidP="00DC6752">
      <w:pPr>
        <w:pStyle w:val="BodyText"/>
      </w:pPr>
      <w:r w:rsidRPr="003409B0">
        <w:t>Release 2. Minor adjustments to reflect ERAC requirements for electrician licensing and revision of Essential Performance Capabilities</w:t>
      </w:r>
    </w:p>
    <w:p w:rsidR="00000000" w:rsidRPr="003409B0" w:rsidP="00DC6752">
      <w:pPr>
        <w:pStyle w:val="BodyText"/>
      </w:pPr>
      <w:r w:rsidRPr="003409B0">
        <w:t>Release 1. New unit</w:t>
      </w:r>
    </w:p>
    <w:p w:rsidR="00000000" w:rsidRPr="003409B0" w:rsidP="003409B0">
      <w:pPr>
        <w:pStyle w:val="Heading1"/>
      </w:pPr>
      <w:bookmarkStart w:id="2" w:name="O_968703"/>
      <w:bookmarkEnd w:id="2"/>
      <w:r w:rsidRPr="003409B0">
        <w:t>Application</w:t>
      </w:r>
    </w:p>
    <w:p w:rsidR="00000000" w:rsidRPr="003409B0" w:rsidP="00DC6752">
      <w:pPr>
        <w:pStyle w:val="BodyText"/>
      </w:pPr>
      <w:r w:rsidRPr="003409B0">
        <w:t xml:space="preserve">This unit of competency has been developed for Engineering Tradesperson </w:t>
      </w:r>
      <w:r w:rsidRPr="003409B0">
        <w:t xml:space="preserve">– industrial electrician apprenticeship training and the recognition of trade-level skills in installing and troubleshooting luminaires and ancillary equipment in accordance with the relevant standards. </w:t>
      </w:r>
    </w:p>
    <w:p w:rsidR="00000000" w:rsidRPr="003409B0" w:rsidP="00DC6752">
      <w:pPr>
        <w:pStyle w:val="BodyText"/>
      </w:pPr>
      <w:r w:rsidRPr="003409B0">
        <w:t>It covers a basic understanding of the various types</w:t>
      </w:r>
      <w:r w:rsidRPr="003409B0">
        <w:t xml:space="preserve"> of faults, luminaires and the purpose components and ancillary equipment for operating voltages up to 1000 V alternating current (AC) or 1500 V direct current (DC) and related hazard and safety requirements.</w:t>
      </w:r>
    </w:p>
    <w:p w:rsidR="00000000" w:rsidRPr="003409B0" w:rsidP="00DC6752">
      <w:pPr>
        <w:pStyle w:val="BodyText"/>
      </w:pPr>
      <w:r w:rsidRPr="003409B0">
        <w:t>This unit covers the skills and knowledge requi</w:t>
      </w:r>
      <w:r w:rsidRPr="003409B0">
        <w:t>red to meet the Electrical Regulatory Authorities Council (ERAC).</w:t>
      </w:r>
    </w:p>
    <w:p w:rsidR="00000000" w:rsidRPr="003409B0" w:rsidP="00DC6752">
      <w:pPr>
        <w:pStyle w:val="BodyText"/>
      </w:pPr>
      <w:r w:rsidRPr="003409B0">
        <w:t>Essential Performance Capability (EPC):</w:t>
      </w:r>
    </w:p>
    <w:p w:rsidR="00000000" w:rsidRPr="003409B0" w:rsidP="003409B0">
      <w:pPr>
        <w:pStyle w:val="ListBullet"/>
      </w:pPr>
      <w:r w:rsidRPr="003409B0">
        <w:t>EPC 53 – Demonstrate an understanding of the basic operation and energy efficiency of the various types of luminaires and the purpose of components a</w:t>
      </w:r>
      <w:r w:rsidRPr="003409B0">
        <w:t>nd ancillary equipment including related hazards and their safety requirements.</w:t>
      </w:r>
    </w:p>
    <w:p w:rsidR="00000000" w:rsidRPr="003409B0" w:rsidP="00DC6752">
      <w:pPr>
        <w:pStyle w:val="BodyText"/>
      </w:pPr>
      <w:r w:rsidRPr="003409B0">
        <w:t>Some jurisdictions require the holder of this unit to be licensed or certified and users should check with the relevant authorities.</w:t>
      </w:r>
    </w:p>
    <w:p w:rsidR="00000000" w:rsidRPr="003409B0" w:rsidP="003409B0">
      <w:pPr>
        <w:pStyle w:val="BodyText"/>
      </w:pPr>
      <w:r w:rsidRPr="003409B0">
        <w:rPr>
          <w:rStyle w:val="SpecialBold"/>
        </w:rPr>
        <w:t>Band:</w:t>
      </w:r>
      <w:r w:rsidRPr="003409B0">
        <w:rPr>
          <w:rStyle w:val="SpecialBold"/>
        </w:rPr>
        <w:tab/>
        <w:t>A</w:t>
      </w:r>
    </w:p>
    <w:p w:rsidR="00000000" w:rsidRPr="003409B0" w:rsidP="003409B0">
      <w:pPr>
        <w:pStyle w:val="BodyText"/>
      </w:pPr>
      <w:r w:rsidRPr="003409B0">
        <w:rPr>
          <w:rStyle w:val="SpecialBold"/>
        </w:rPr>
        <w:t>Unit Weight:</w:t>
      </w:r>
      <w:r w:rsidRPr="003409B0">
        <w:rPr>
          <w:rStyle w:val="SpecialBold"/>
        </w:rPr>
        <w:tab/>
        <w:t>2</w:t>
      </w:r>
    </w:p>
    <w:p w:rsidR="00000000" w:rsidRPr="003409B0" w:rsidP="003409B0">
      <w:pPr>
        <w:pStyle w:val="AllowPageBreak"/>
      </w:pPr>
    </w:p>
    <w:p w:rsidR="00000000" w:rsidRPr="003409B0" w:rsidP="003409B0">
      <w:pPr>
        <w:pStyle w:val="Heading1"/>
      </w:pPr>
      <w:bookmarkStart w:id="3" w:name="O_968702"/>
      <w:bookmarkEnd w:id="3"/>
      <w:r w:rsidRPr="003409B0">
        <w:t>Pre</w:t>
      </w:r>
      <w:r w:rsidRPr="003409B0">
        <w:t>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7"/>
        <w:gridCol w:w="6249"/>
      </w:tblGrid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MEM10016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Terminate and test electrical wiring and accessories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MEM10018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Select cable types and sizes to suit loads and electrical installation environment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MEM10019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Select circuit protection devices by type and rating, fit to switchboards and install earthing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MEM10023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Design and connect control switching of circuits for building services and industrial equipment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MEM18001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B0" w:rsidP="003409B0">
            <w:pPr>
              <w:pStyle w:val="BodyText"/>
            </w:pPr>
            <w:r w:rsidRPr="003409B0">
              <w:t>Use hand tools</w:t>
            </w:r>
          </w:p>
        </w:tc>
      </w:tr>
    </w:tbl>
    <w:p w:rsidR="00000000" w:rsidRPr="003409B0" w:rsidP="003409B0">
      <w:pPr>
        <w:pStyle w:val="BodyText"/>
      </w:pPr>
    </w:p>
    <w:p w:rsidR="00000000" w:rsidRPr="003409B0" w:rsidP="003409B0">
      <w:pPr>
        <w:pStyle w:val="AllowPageBreak"/>
      </w:pPr>
    </w:p>
    <w:p w:rsidR="00000000" w:rsidRPr="003409B0" w:rsidP="003409B0">
      <w:pPr>
        <w:pStyle w:val="Heading1"/>
      </w:pPr>
      <w:bookmarkStart w:id="4" w:name="O_968701"/>
      <w:bookmarkEnd w:id="4"/>
      <w:r w:rsidRPr="003409B0">
        <w:t xml:space="preserve">Competency </w:t>
      </w:r>
      <w:r w:rsidRPr="003409B0">
        <w:t>Field</w:t>
      </w:r>
    </w:p>
    <w:p w:rsidR="00000000" w:rsidRPr="003409B0" w:rsidP="00DC6752">
      <w:pPr>
        <w:pStyle w:val="BodyText"/>
      </w:pPr>
      <w:r w:rsidRPr="003409B0">
        <w:t>Installation and commissioning</w:t>
      </w:r>
    </w:p>
    <w:p w:rsidR="00000000" w:rsidRPr="003409B0" w:rsidP="003409B0">
      <w:pPr>
        <w:pStyle w:val="Heading1"/>
      </w:pPr>
      <w:bookmarkStart w:id="5" w:name="O_968699"/>
      <w:bookmarkEnd w:id="5"/>
      <w:r w:rsidRPr="003409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6"/>
        <w:gridCol w:w="2125"/>
        <w:gridCol w:w="779"/>
        <w:gridCol w:w="5678"/>
      </w:tblGrid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Performance criteria describe the performance needed to demonstrate achievement of the element.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1.</w:t>
            </w:r>
          </w:p>
        </w:tc>
        <w:tc>
          <w:tcPr>
            <w:tcW w:w="2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1.1.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Follow standard operating procedures (SOPs)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1.2.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Comply with work health and safety (WHS) requirements at all times, including appropriate risk control measures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1.3.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Use appropriate personal protective equipment (PPE) in accordance with SOPs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1.4.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Determine through the interpretation of electrical diagrams, drawings, lighting standards and/or from consultation the luminaire and ancillary equipment requirements for th</w:t>
            </w:r>
            <w:r w:rsidRPr="003409B0">
              <w:t xml:space="preserve">e electrical installation 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</w:t>
            </w:r>
          </w:p>
        </w:tc>
        <w:tc>
          <w:tcPr>
            <w:tcW w:w="2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Install luminaires and ancillary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2.1.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Obtain the number and type of luminaires and associated ancillary equipment through established procedures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2.2.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Obtain necessary tools, equipment and testing instruments needed for installing luminaires and ancillary equipment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2.3.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Isolate and tag circuits and equipment in accordance with procedures, where required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2.4.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 xml:space="preserve">Install luminaires and accessories complying with job specifications, and regulatory and legislative requirements 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2.5.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Check installed accessories are straight and square in the required locations and within acceptable tolerances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2.6.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Terminate ligh</w:t>
            </w:r>
            <w:r w:rsidRPr="003409B0">
              <w:t xml:space="preserve">ting circuits to luminaires, switches and other control devices in accordance with manufacturer </w:t>
            </w:r>
            <w:r w:rsidRPr="003409B0">
              <w:t>specifications and regulatory requirements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2.7.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Test luminaires and ancillary equipment to ensure compliance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3.</w:t>
            </w:r>
          </w:p>
        </w:tc>
        <w:tc>
          <w:tcPr>
            <w:tcW w:w="212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Troubleshoot luminaires and ancillary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3.1.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Identify the fault and resulting safety hazards and implement risk control measures in consultation with appropriate personnel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3.2.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Apply diagnostic techniques to troubleshoot luminaires, ancillary eq</w:t>
            </w:r>
            <w:r w:rsidRPr="003409B0">
              <w:t>uipment and associated lighting circuits using appropriate test equipment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3.3.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Repair/replace faulty circuits/components according to manufacturer specifications and regulatory requirements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3.4.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Test repaired/replaced circuit/component for functionality in accordance with regulatory requirements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3.5.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Dispose of discharge lamps in accordance with environmental guidelines and procedures</w:t>
            </w:r>
          </w:p>
        </w:tc>
      </w:tr>
      <w:tr w:rsidTr="003409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3.6.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B0" w:rsidP="003409B0">
            <w:pPr>
              <w:pStyle w:val="BodyText"/>
            </w:pPr>
            <w:r w:rsidRPr="003409B0">
              <w:t>Document installation and troubleshooting of luminai</w:t>
            </w:r>
            <w:r w:rsidRPr="003409B0">
              <w:t>res, ancillary equipment and associated circuits in accordance with SOPs</w:t>
            </w:r>
          </w:p>
        </w:tc>
      </w:tr>
    </w:tbl>
    <w:p w:rsidR="00000000" w:rsidRPr="003409B0" w:rsidP="003409B0">
      <w:pPr>
        <w:pStyle w:val="BodyText"/>
      </w:pPr>
    </w:p>
    <w:p w:rsidR="00000000" w:rsidRPr="003409B0" w:rsidP="003409B0">
      <w:pPr>
        <w:pStyle w:val="AllowPageBreak"/>
      </w:pPr>
    </w:p>
    <w:p w:rsidR="00000000" w:rsidRPr="003409B0" w:rsidP="003409B0">
      <w:pPr>
        <w:pStyle w:val="Heading1"/>
      </w:pPr>
      <w:bookmarkStart w:id="6" w:name="O_968698"/>
      <w:bookmarkEnd w:id="6"/>
      <w:r w:rsidRPr="003409B0">
        <w:t>Foundation Skills</w:t>
      </w:r>
    </w:p>
    <w:p w:rsidR="00000000" w:rsidRPr="003409B0" w:rsidP="00DC6752">
      <w:pPr>
        <w:pStyle w:val="BodyText"/>
      </w:pPr>
      <w:r w:rsidRPr="003409B0">
        <w:t>This section describes those required skills (reading, writing, oral communication and numeracy) that are essential to workplace performance in this unit of competency.</w:t>
      </w:r>
    </w:p>
    <w:p w:rsidR="00000000" w:rsidRPr="003409B0" w:rsidP="00DC6752">
      <w:pPr>
        <w:pStyle w:val="BodyText"/>
      </w:pPr>
      <w:r w:rsidRPr="003409B0">
        <w:t>Foundation skills essential to performance are explicit in the performance criteria of</w:t>
      </w:r>
      <w:r w:rsidRPr="003409B0">
        <w:t xml:space="preserve"> this unit of competency.</w:t>
      </w:r>
    </w:p>
    <w:p w:rsidR="00000000" w:rsidRPr="003409B0" w:rsidP="003409B0">
      <w:pPr>
        <w:pStyle w:val="Heading1"/>
      </w:pPr>
      <w:bookmarkStart w:id="7" w:name="O_968697"/>
      <w:bookmarkEnd w:id="7"/>
      <w:r w:rsidRPr="003409B0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3409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t>This field allows for different work environments and conditions that may affect performance. Essential operating conditions that may be present (depending on the work situation, needs of the c</w:t>
            </w:r>
            <w:r w:rsidRPr="003409B0">
              <w:t>andidate, accessibility of the item, and local industry and regional contexts) are included.</w:t>
            </w:r>
          </w:p>
        </w:tc>
      </w:tr>
      <w:tr w:rsidTr="003409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rPr>
                <w:rStyle w:val="SpecialBold"/>
              </w:rPr>
              <w:t>Lighting standard includes: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B0" w:rsidP="003409B0">
            <w:pPr>
              <w:pStyle w:val="ListBullet"/>
            </w:pPr>
            <w:r w:rsidRPr="003409B0">
              <w:t>AS/NZS 1680.1:2006 Interior and workplace lighting general principles and recommendations</w:t>
            </w:r>
          </w:p>
          <w:p w:rsidR="00000000" w:rsidP="003409B0">
            <w:pPr>
              <w:pStyle w:val="BodyText"/>
              <w:rPr>
                <w:lang w:val="en-NZ"/>
              </w:rPr>
            </w:pPr>
          </w:p>
        </w:tc>
      </w:tr>
      <w:tr w:rsidTr="003409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rPr>
                <w:rStyle w:val="SpecialBold"/>
              </w:rPr>
              <w:t>Regulatory requirements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B0" w:rsidP="003409B0">
            <w:pPr>
              <w:pStyle w:val="ListBullet"/>
            </w:pPr>
            <w:r w:rsidRPr="003409B0">
              <w:t>AS/NZS 3000:2007 Electrical Installations (known as the Australian/New Zealand Wiring Rules</w:t>
            </w:r>
          </w:p>
          <w:p w:rsidR="00000000" w:rsidRPr="003409B0" w:rsidP="003409B0">
            <w:pPr>
              <w:pStyle w:val="ListBullet"/>
            </w:pPr>
            <w:r w:rsidRPr="003409B0">
              <w:t>National Construction Code (NCC) Australia or building code (NZ)</w:t>
            </w:r>
          </w:p>
          <w:p w:rsidR="00000000" w:rsidP="003409B0">
            <w:pPr>
              <w:pStyle w:val="BodyText"/>
              <w:rPr>
                <w:lang w:val="en-NZ"/>
              </w:rPr>
            </w:pPr>
          </w:p>
        </w:tc>
      </w:tr>
      <w:tr w:rsidTr="003409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rPr>
                <w:rStyle w:val="SpecialBold"/>
              </w:rPr>
              <w:t>Faults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B0" w:rsidP="003409B0">
            <w:pPr>
              <w:pStyle w:val="ListBullet"/>
            </w:pPr>
            <w:r w:rsidRPr="003409B0">
              <w:t>fluorescent light circuits, including lamp, ballast and starter</w:t>
            </w:r>
          </w:p>
          <w:p w:rsidR="00000000" w:rsidRPr="003409B0" w:rsidP="003409B0">
            <w:pPr>
              <w:pStyle w:val="ListBullet"/>
            </w:pPr>
            <w:r w:rsidRPr="003409B0">
              <w:t>metal Halide and</w:t>
            </w:r>
            <w:r w:rsidRPr="003409B0">
              <w:t xml:space="preserve"> high-pressure sodium (HPS) lighting and circuits, including capacitor, poor connection, igniter and ballast</w:t>
            </w:r>
          </w:p>
          <w:p w:rsidR="00000000" w:rsidRPr="003409B0" w:rsidP="003409B0">
            <w:pPr>
              <w:pStyle w:val="ListBullet"/>
            </w:pPr>
            <w:r w:rsidRPr="003409B0">
              <w:t>extra-low voltage (ELV) lighting devices, including transformer (iron core or electronic), voltage drop, heat, over-voltage, poor connections and i</w:t>
            </w:r>
            <w:r w:rsidRPr="003409B0">
              <w:t>ncompatible dimmers</w:t>
            </w:r>
          </w:p>
          <w:p w:rsidR="00000000" w:rsidRPr="003409B0" w:rsidP="003409B0">
            <w:pPr>
              <w:pStyle w:val="ListBullet"/>
            </w:pPr>
            <w:r w:rsidRPr="003409B0">
              <w:t>lighting control circuits, including manual control, passive infra-red (PIR), dimmers, photo electric or day-light switches and time clocks</w:t>
            </w:r>
          </w:p>
          <w:p w:rsidR="00000000" w:rsidRPr="003409B0" w:rsidP="003409B0">
            <w:pPr>
              <w:pStyle w:val="ListBullet"/>
            </w:pPr>
            <w:r w:rsidRPr="003409B0">
              <w:t>lighting management systems</w:t>
            </w:r>
          </w:p>
          <w:p w:rsidR="00000000" w:rsidP="003409B0">
            <w:pPr>
              <w:pStyle w:val="BodyText"/>
              <w:rPr>
                <w:lang w:val="en-NZ"/>
              </w:rPr>
            </w:pPr>
          </w:p>
        </w:tc>
      </w:tr>
      <w:tr w:rsidTr="003409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rPr>
                <w:rStyle w:val="SpecialBold"/>
              </w:rPr>
              <w:t>Lighting circuits include two (2)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B0" w:rsidP="003409B0">
            <w:pPr>
              <w:pStyle w:val="ListBullet"/>
            </w:pPr>
            <w:r w:rsidRPr="003409B0">
              <w:t>single light controlled by a single switch</w:t>
            </w:r>
          </w:p>
          <w:p w:rsidR="00000000" w:rsidRPr="003409B0" w:rsidP="003409B0">
            <w:pPr>
              <w:pStyle w:val="ListBullet"/>
            </w:pPr>
            <w:r w:rsidRPr="003409B0">
              <w:t>multiple lights controlled by a single switch</w:t>
            </w:r>
          </w:p>
          <w:p w:rsidR="00000000" w:rsidRPr="003409B0" w:rsidP="003409B0">
            <w:pPr>
              <w:pStyle w:val="ListBullet"/>
            </w:pPr>
            <w:r w:rsidRPr="003409B0">
              <w:t>two and three-way switching using:</w:t>
            </w:r>
          </w:p>
          <w:p w:rsidR="00000000" w:rsidRPr="003409B0" w:rsidP="003409B0">
            <w:pPr>
              <w:pStyle w:val="ListBullet2"/>
            </w:pPr>
            <w:r w:rsidRPr="003409B0">
              <w:t xml:space="preserve">loop at the light method </w:t>
            </w:r>
          </w:p>
          <w:p w:rsidR="00000000" w:rsidRPr="003409B0" w:rsidP="003409B0">
            <w:pPr>
              <w:pStyle w:val="ListBullet2"/>
            </w:pPr>
            <w:r w:rsidRPr="003409B0">
              <w:t>loop at the switch method</w:t>
            </w:r>
          </w:p>
          <w:p w:rsidR="00000000" w:rsidP="003409B0">
            <w:pPr>
              <w:pStyle w:val="BodyText"/>
              <w:rPr>
                <w:lang w:val="en-NZ"/>
              </w:rPr>
            </w:pPr>
          </w:p>
        </w:tc>
      </w:tr>
      <w:tr w:rsidTr="003409B0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B0">
            <w:pPr>
              <w:pStyle w:val="BodyText"/>
              <w:rPr>
                <w:lang w:val="en-NZ"/>
              </w:rPr>
            </w:pPr>
            <w:r w:rsidRPr="003409B0">
              <w:rPr>
                <w:rStyle w:val="SpecialBold"/>
              </w:rPr>
              <w:t>Safe working practices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B0" w:rsidP="003409B0">
            <w:pPr>
              <w:pStyle w:val="ListBullet"/>
            </w:pPr>
            <w:r w:rsidRPr="003409B0">
              <w:t xml:space="preserve">demonstration of safe working practices and installation in accordance with industry established safe and sound practices </w:t>
            </w:r>
          </w:p>
        </w:tc>
      </w:tr>
    </w:tbl>
    <w:p w:rsidR="00000000" w:rsidRPr="003409B0" w:rsidP="003409B0">
      <w:pPr>
        <w:pStyle w:val="BodyText"/>
      </w:pPr>
    </w:p>
    <w:p w:rsidR="00000000" w:rsidRPr="003409B0" w:rsidP="003409B0">
      <w:pPr>
        <w:pStyle w:val="AllowPageBreak"/>
      </w:pPr>
    </w:p>
    <w:p w:rsidR="00000000" w:rsidRPr="003409B0" w:rsidP="003409B0">
      <w:pPr>
        <w:pStyle w:val="Heading1"/>
      </w:pPr>
      <w:bookmarkStart w:id="8" w:name="O_968696"/>
      <w:bookmarkEnd w:id="8"/>
      <w:r w:rsidRPr="003409B0">
        <w:t>Unit Mapping Information</w:t>
      </w:r>
    </w:p>
    <w:p w:rsidR="00000000" w:rsidRPr="003409B0" w:rsidP="00DC6752">
      <w:pPr>
        <w:pStyle w:val="BodyText"/>
      </w:pPr>
      <w:r w:rsidRPr="003409B0">
        <w:t>Release 2. Equivalent. Minor adjustments to reflect ERAC requirements for electrician licensing and revision of Essential Performance Capabilities.</w:t>
      </w:r>
    </w:p>
    <w:p w:rsidR="00000000" w:rsidRPr="003409B0" w:rsidP="003409B0">
      <w:pPr>
        <w:pStyle w:val="Heading1"/>
      </w:pPr>
      <w:bookmarkStart w:id="9" w:name="O_968705"/>
      <w:bookmarkEnd w:id="9"/>
      <w:r w:rsidRPr="003409B0">
        <w:t>Links</w:t>
      </w:r>
    </w:p>
    <w:p w:rsidR="00000000" w:rsidRPr="003409B0" w:rsidP="00DC6752">
      <w:pPr>
        <w:pStyle w:val="BodyText"/>
      </w:pPr>
      <w:r w:rsidRPr="003409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30D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09B0" w:rsidP="00DC6752">
      <w:pPr>
        <w:pStyle w:val="BodyText"/>
        <w:sectPr w:rsidSect="003409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09B0" w:rsidP="003409B0">
      <w:pPr>
        <w:pStyle w:val="SuperHeading"/>
      </w:pPr>
      <w:r w:rsidRPr="003409B0">
        <w:t>Assessment Requirements for MEM10024 Install and troubleshoot luminaires and ancillary equipment</w:t>
      </w:r>
    </w:p>
    <w:p w:rsidR="00000000" w:rsidRPr="003409B0" w:rsidP="003409B0">
      <w:pPr>
        <w:pStyle w:val="Heading1"/>
      </w:pPr>
      <w:bookmarkStart w:id="10" w:name="O_968694"/>
      <w:bookmarkEnd w:id="10"/>
      <w:r w:rsidRPr="003409B0">
        <w:t>Modification History</w:t>
      </w:r>
    </w:p>
    <w:p w:rsidR="00000000" w:rsidRPr="003409B0" w:rsidP="00DC6752">
      <w:pPr>
        <w:pStyle w:val="Heading3"/>
      </w:pPr>
      <w:r w:rsidRPr="003409B0">
        <w:t>Release 3. Pre</w:t>
      </w:r>
      <w:r w:rsidRPr="003409B0">
        <w:t>requisite units updated</w:t>
      </w:r>
    </w:p>
    <w:p w:rsidR="00000000" w:rsidRPr="003409B0" w:rsidP="00DC6752">
      <w:pPr>
        <w:pStyle w:val="BodyText"/>
      </w:pPr>
      <w:r w:rsidRPr="003409B0">
        <w:t>Release 2. Minor adjustments to reflect ERAC requirements for electrician licensing and revision of Essential Performance Capabilities</w:t>
      </w:r>
    </w:p>
    <w:p w:rsidR="00000000" w:rsidRPr="003409B0" w:rsidP="00DC6752">
      <w:pPr>
        <w:pStyle w:val="BodyText"/>
      </w:pPr>
      <w:r w:rsidRPr="003409B0">
        <w:t>Release 1. New unit</w:t>
      </w:r>
    </w:p>
    <w:p w:rsidR="00000000" w:rsidRPr="003409B0" w:rsidP="003409B0">
      <w:pPr>
        <w:pStyle w:val="Heading1"/>
      </w:pPr>
      <w:bookmarkStart w:id="11" w:name="O_968693"/>
      <w:bookmarkEnd w:id="11"/>
      <w:r w:rsidRPr="003409B0">
        <w:t>Performance Evidence</w:t>
      </w:r>
    </w:p>
    <w:p w:rsidR="00000000" w:rsidRPr="003409B0" w:rsidP="00DC6752">
      <w:pPr>
        <w:pStyle w:val="BodyText"/>
      </w:pPr>
      <w:r w:rsidRPr="003409B0">
        <w:t>Evidence required to demonstrate compet</w:t>
      </w:r>
      <w:r w:rsidRPr="003409B0">
        <w:t>ence in this unit must be relevant to and satisfy the requirements of the elements and performance criteria on at least two (2) occasions and include:</w:t>
      </w:r>
    </w:p>
    <w:p w:rsidR="00000000" w:rsidRPr="003409B0" w:rsidP="003409B0">
      <w:pPr>
        <w:pStyle w:val="ListBullet"/>
      </w:pPr>
      <w:r w:rsidRPr="003409B0">
        <w:t xml:space="preserve">following work instructions, standard operating procedures (SOPs) and safe work practices </w:t>
      </w:r>
    </w:p>
    <w:p w:rsidR="00000000" w:rsidRPr="003409B0" w:rsidP="003409B0">
      <w:pPr>
        <w:pStyle w:val="ListBullet"/>
      </w:pPr>
      <w:r w:rsidRPr="003409B0">
        <w:t>identifying and interpreting circuits, drawings, specifications and plans relevant to the work to be undertaken</w:t>
      </w:r>
    </w:p>
    <w:p w:rsidR="00000000" w:rsidRPr="003409B0" w:rsidP="003409B0">
      <w:pPr>
        <w:pStyle w:val="ListBullet"/>
      </w:pPr>
      <w:r w:rsidRPr="003409B0">
        <w:t>determining the electrical and non-electrical isolation requirements to prevent the creation of hazards linked from the loss of machine/system/p</w:t>
      </w:r>
      <w:r w:rsidRPr="003409B0">
        <w:t>rocess control according to established procedures</w:t>
      </w:r>
    </w:p>
    <w:p w:rsidR="00000000" w:rsidRPr="003409B0" w:rsidP="003409B0">
      <w:pPr>
        <w:pStyle w:val="ListBullet"/>
      </w:pPr>
      <w:r w:rsidRPr="003409B0">
        <w:t>using lock out tag procedures with appropriate tags/signs</w:t>
      </w:r>
    </w:p>
    <w:p w:rsidR="00000000" w:rsidRPr="003409B0" w:rsidP="003409B0">
      <w:pPr>
        <w:pStyle w:val="ListBullet"/>
      </w:pPr>
      <w:r w:rsidRPr="003409B0">
        <w:t>proving electrical isolation and following established safety rules prior to working on electrical equipment or wiring</w:t>
      </w:r>
    </w:p>
    <w:p w:rsidR="00000000" w:rsidRPr="003409B0" w:rsidP="003409B0">
      <w:pPr>
        <w:pStyle w:val="ListBullet"/>
      </w:pPr>
      <w:r w:rsidRPr="003409B0">
        <w:t>ensuring all electrical equi</w:t>
      </w:r>
      <w:r w:rsidRPr="003409B0">
        <w:t>pment and tools are tested and tagged and up to date</w:t>
      </w:r>
    </w:p>
    <w:p w:rsidR="00000000" w:rsidRPr="003409B0" w:rsidP="003409B0">
      <w:pPr>
        <w:pStyle w:val="ListBullet"/>
      </w:pPr>
      <w:r w:rsidRPr="003409B0">
        <w:t>installing accessories ensuring that they are straight and square in the required location</w:t>
      </w:r>
    </w:p>
    <w:p w:rsidR="00000000" w:rsidRPr="003409B0" w:rsidP="003409B0">
      <w:pPr>
        <w:pStyle w:val="ListBullet"/>
      </w:pPr>
      <w:r w:rsidRPr="003409B0">
        <w:t>using safe working practices and take additional care when working with lights that operate at high voltage or c</w:t>
      </w:r>
      <w:r w:rsidRPr="003409B0">
        <w:t>ontain capacitors</w:t>
      </w:r>
    </w:p>
    <w:p w:rsidR="00000000" w:rsidRPr="003409B0" w:rsidP="003409B0">
      <w:pPr>
        <w:pStyle w:val="ListBullet"/>
      </w:pPr>
      <w:r w:rsidRPr="003409B0">
        <w:t>terminating two (2) or more of the following lighting circuits:</w:t>
      </w:r>
    </w:p>
    <w:p w:rsidR="00000000" w:rsidRPr="003409B0" w:rsidP="003409B0">
      <w:pPr>
        <w:pStyle w:val="ListBullet2"/>
      </w:pPr>
      <w:r w:rsidRPr="003409B0">
        <w:t>single light controlled by a single switch</w:t>
      </w:r>
    </w:p>
    <w:p w:rsidR="00000000" w:rsidRPr="003409B0" w:rsidP="003409B0">
      <w:pPr>
        <w:pStyle w:val="ListBullet2"/>
      </w:pPr>
      <w:r w:rsidRPr="003409B0">
        <w:t>multiple lights controlled by a single switch</w:t>
      </w:r>
    </w:p>
    <w:p w:rsidR="00000000" w:rsidRPr="003409B0" w:rsidP="003409B0">
      <w:pPr>
        <w:pStyle w:val="ListBullet2"/>
      </w:pPr>
      <w:r w:rsidRPr="003409B0">
        <w:t>two and three-way switching using:</w:t>
      </w:r>
    </w:p>
    <w:p w:rsidR="00000000" w:rsidRPr="003409B0" w:rsidP="003409B0">
      <w:pPr>
        <w:pStyle w:val="ListBullet3"/>
      </w:pPr>
      <w:r w:rsidRPr="003409B0">
        <w:t xml:space="preserve">loop at the light method </w:t>
      </w:r>
    </w:p>
    <w:p w:rsidR="00000000" w:rsidRPr="003409B0" w:rsidP="003409B0">
      <w:pPr>
        <w:pStyle w:val="ListBullet3"/>
      </w:pPr>
      <w:r w:rsidRPr="003409B0">
        <w:t>loop at the switch method</w:t>
      </w:r>
    </w:p>
    <w:p w:rsidR="00000000" w:rsidRPr="003409B0" w:rsidP="003409B0">
      <w:pPr>
        <w:pStyle w:val="ListBullet"/>
      </w:pPr>
      <w:r w:rsidRPr="003409B0">
        <w:t>complying with the Australian/New Zealand Wiring Rules requirements for the installation and termination of lighting equipment and accessories, including related hazards and safety requirements including maintaining fire integrit</w:t>
      </w:r>
      <w:r w:rsidRPr="003409B0">
        <w:t xml:space="preserve">y </w:t>
      </w:r>
    </w:p>
    <w:p w:rsidR="00000000" w:rsidRPr="003409B0" w:rsidP="003409B0">
      <w:pPr>
        <w:pStyle w:val="ListBullet"/>
      </w:pPr>
      <w:r w:rsidRPr="003409B0">
        <w:t>measuring and recording illumination for comparison against lighting standard AS/NZS 1680.1:2006 Interior and workplace lighting – General principles and recommendations, using a suitable light meter</w:t>
      </w:r>
    </w:p>
    <w:p w:rsidR="00000000" w:rsidRPr="003409B0" w:rsidP="003409B0">
      <w:pPr>
        <w:pStyle w:val="ListBullet"/>
      </w:pPr>
      <w:r w:rsidRPr="003409B0">
        <w:t>locating and repairing faults in luminaires and ancil</w:t>
      </w:r>
      <w:r w:rsidRPr="003409B0">
        <w:t>lary equipment</w:t>
      </w:r>
    </w:p>
    <w:p w:rsidR="00000000" w:rsidRPr="003409B0" w:rsidP="003409B0">
      <w:pPr>
        <w:pStyle w:val="ListBullet"/>
      </w:pPr>
      <w:r w:rsidRPr="003409B0">
        <w:t xml:space="preserve">troubleshooting and repairing faults in common lighting circuits </w:t>
      </w:r>
    </w:p>
    <w:p w:rsidR="00000000" w:rsidRPr="003409B0" w:rsidP="003409B0">
      <w:pPr>
        <w:pStyle w:val="ListBullet"/>
      </w:pPr>
      <w:r w:rsidRPr="003409B0">
        <w:t>replacing lamps with ‘like for like’</w:t>
      </w:r>
    </w:p>
    <w:p w:rsidR="00000000" w:rsidRPr="003409B0" w:rsidP="003409B0">
      <w:pPr>
        <w:pStyle w:val="ListBullet"/>
      </w:pPr>
      <w:r w:rsidRPr="003409B0">
        <w:t>performing periodic servicing of emergency lighting and smoke detector systems and recording intervals of servicing, including remedial ac</w:t>
      </w:r>
      <w:r w:rsidRPr="003409B0">
        <w:t>tion taken</w:t>
      </w:r>
    </w:p>
    <w:p w:rsidR="00000000" w:rsidRPr="003409B0" w:rsidP="003409B0">
      <w:pPr>
        <w:pStyle w:val="ListBullet"/>
      </w:pPr>
      <w:r w:rsidRPr="003409B0">
        <w:t>disposing of discharge lamps according to environmental guidelines and established procedures</w:t>
      </w:r>
    </w:p>
    <w:p w:rsidR="00000000" w:rsidRPr="003409B0" w:rsidP="003409B0">
      <w:pPr>
        <w:pStyle w:val="ListBullet"/>
      </w:pPr>
      <w:r w:rsidRPr="003409B0">
        <w:t>documenting installation and troubleshooting, including remedial action taken in accordance with SOPs.</w:t>
      </w:r>
    </w:p>
    <w:p w:rsidR="00000000" w:rsidRPr="003409B0" w:rsidP="003409B0">
      <w:pPr>
        <w:pStyle w:val="AllowPageBreak"/>
      </w:pPr>
    </w:p>
    <w:p w:rsidR="00000000" w:rsidRPr="003409B0" w:rsidP="003409B0">
      <w:pPr>
        <w:pStyle w:val="Heading1"/>
      </w:pPr>
      <w:bookmarkStart w:id="12" w:name="O_968692"/>
      <w:bookmarkEnd w:id="12"/>
      <w:r w:rsidRPr="003409B0">
        <w:t>Knowledge Evidence</w:t>
      </w:r>
    </w:p>
    <w:p w:rsidR="00000000" w:rsidRPr="003409B0" w:rsidP="00DC6752">
      <w:pPr>
        <w:pStyle w:val="BodyText"/>
      </w:pPr>
      <w:r w:rsidRPr="003409B0">
        <w:t>Evidence required to demonstrate the required knowledge for this unit must be relevant to and satisfy the requirements of the elements and performance criteria and include knowledge of:</w:t>
      </w:r>
    </w:p>
    <w:p w:rsidR="00000000" w:rsidRPr="003409B0" w:rsidP="003409B0">
      <w:pPr>
        <w:pStyle w:val="ListBullet"/>
      </w:pPr>
      <w:r w:rsidRPr="003409B0">
        <w:t>safe work practices and procedures and use of personal protective equipment (PPE)</w:t>
      </w:r>
    </w:p>
    <w:p w:rsidR="00000000" w:rsidRPr="003409B0" w:rsidP="003409B0">
      <w:pPr>
        <w:pStyle w:val="ListBullet"/>
      </w:pPr>
      <w:r w:rsidRPr="003409B0">
        <w:t>lighting applications, including:</w:t>
      </w:r>
    </w:p>
    <w:p w:rsidR="00000000" w:rsidRPr="003409B0" w:rsidP="003409B0">
      <w:pPr>
        <w:pStyle w:val="ListBullet2"/>
      </w:pPr>
      <w:r w:rsidRPr="003409B0">
        <w:t>basic principles, terminology and units in describing process and concepts of illumination</w:t>
      </w:r>
    </w:p>
    <w:p w:rsidR="00000000" w:rsidRPr="003409B0" w:rsidP="003409B0">
      <w:pPr>
        <w:pStyle w:val="ListBullet2"/>
      </w:pPr>
      <w:r w:rsidRPr="003409B0">
        <w:t>the major design requirements of luminaires rega</w:t>
      </w:r>
      <w:r w:rsidRPr="003409B0">
        <w:t>rding reflection or diffusion of light and direct the light onto the working place</w:t>
      </w:r>
    </w:p>
    <w:p w:rsidR="00000000" w:rsidRPr="003409B0" w:rsidP="003409B0">
      <w:pPr>
        <w:pStyle w:val="ListBullet2"/>
      </w:pPr>
      <w:r w:rsidRPr="003409B0">
        <w:t>functional category types of luminaires:</w:t>
      </w:r>
    </w:p>
    <w:p w:rsidR="00000000" w:rsidRPr="003409B0" w:rsidP="003409B0">
      <w:pPr>
        <w:pStyle w:val="ListBullet3"/>
      </w:pPr>
      <w:r w:rsidRPr="003409B0">
        <w:t>direct with 90-100% downward light component</w:t>
      </w:r>
    </w:p>
    <w:p w:rsidR="00000000" w:rsidRPr="003409B0" w:rsidP="003409B0">
      <w:pPr>
        <w:pStyle w:val="ListBullet3"/>
      </w:pPr>
      <w:r w:rsidRPr="003409B0">
        <w:t>indirect with 90-100% upward light component</w:t>
      </w:r>
    </w:p>
    <w:p w:rsidR="00000000" w:rsidRPr="003409B0" w:rsidP="003409B0">
      <w:pPr>
        <w:pStyle w:val="ListBullet3"/>
      </w:pPr>
      <w:r w:rsidRPr="003409B0">
        <w:t>general diffusing with approximately equal upward and downward components</w:t>
      </w:r>
    </w:p>
    <w:p w:rsidR="00000000" w:rsidRPr="003409B0" w:rsidP="003409B0">
      <w:pPr>
        <w:pStyle w:val="ListBullet3"/>
      </w:pPr>
      <w:r w:rsidRPr="003409B0">
        <w:t>semi direct with 10-40% upward and 60-90% downward</w:t>
      </w:r>
    </w:p>
    <w:p w:rsidR="00000000" w:rsidRPr="003409B0" w:rsidP="003409B0">
      <w:pPr>
        <w:pStyle w:val="ListBullet3"/>
      </w:pPr>
      <w:r w:rsidRPr="003409B0">
        <w:t>semi direct with 60-90% upward and 10-40% downward</w:t>
      </w:r>
    </w:p>
    <w:p w:rsidR="00000000" w:rsidRPr="003409B0" w:rsidP="003409B0">
      <w:pPr>
        <w:pStyle w:val="ListBullet2"/>
      </w:pPr>
      <w:r w:rsidRPr="003409B0">
        <w:t>maintenance of luminaires, including lamp replacement and cleaning</w:t>
      </w:r>
    </w:p>
    <w:p w:rsidR="00000000" w:rsidRPr="003409B0" w:rsidP="003409B0">
      <w:pPr>
        <w:pStyle w:val="ListBullet2"/>
      </w:pPr>
      <w:r w:rsidRPr="003409B0">
        <w:t>common fault</w:t>
      </w:r>
      <w:r w:rsidRPr="003409B0">
        <w:t>s in luminaires</w:t>
      </w:r>
    </w:p>
    <w:p w:rsidR="00000000" w:rsidRPr="003409B0" w:rsidP="003409B0">
      <w:pPr>
        <w:pStyle w:val="ListBullet2"/>
      </w:pPr>
      <w:r w:rsidRPr="003409B0">
        <w:t>disposal of discharge lamps in accordance with environmental guidelines and established procedures</w:t>
      </w:r>
    </w:p>
    <w:p w:rsidR="00000000" w:rsidRPr="003409B0" w:rsidP="003409B0">
      <w:pPr>
        <w:pStyle w:val="ListBullet2"/>
      </w:pPr>
      <w:r w:rsidRPr="003409B0">
        <w:t>elementary lighting design, including:</w:t>
      </w:r>
    </w:p>
    <w:p w:rsidR="00000000" w:rsidRPr="003409B0" w:rsidP="003409B0">
      <w:pPr>
        <w:pStyle w:val="ListBullet3"/>
      </w:pPr>
      <w:r w:rsidRPr="003409B0">
        <w:t>requirements to clearly show up the task or work area</w:t>
      </w:r>
    </w:p>
    <w:p w:rsidR="00000000" w:rsidRPr="003409B0" w:rsidP="003409B0">
      <w:pPr>
        <w:pStyle w:val="ListBullet3"/>
      </w:pPr>
      <w:r w:rsidRPr="003409B0">
        <w:t>recommended maintenance luminance</w:t>
      </w:r>
    </w:p>
    <w:p w:rsidR="00000000" w:rsidRPr="003409B0" w:rsidP="003409B0">
      <w:pPr>
        <w:pStyle w:val="ListBullet3"/>
      </w:pPr>
      <w:r w:rsidRPr="003409B0">
        <w:t>the advantage</w:t>
      </w:r>
      <w:r w:rsidRPr="003409B0">
        <w:t>s of the use of reflectors and diffusers</w:t>
      </w:r>
    </w:p>
    <w:p w:rsidR="00000000" w:rsidRPr="003409B0" w:rsidP="003409B0">
      <w:pPr>
        <w:pStyle w:val="ListBullet3"/>
      </w:pPr>
      <w:r w:rsidRPr="003409B0">
        <w:t>determining illuminance on a working plane using the ‘point by point’ method and lumen method</w:t>
      </w:r>
    </w:p>
    <w:p w:rsidR="00000000" w:rsidRPr="003409B0" w:rsidP="003409B0">
      <w:pPr>
        <w:pStyle w:val="ListBullet3"/>
      </w:pPr>
      <w:r w:rsidRPr="003409B0">
        <w:t>the use of a lux meter to determine lighting and illumination requirements</w:t>
      </w:r>
    </w:p>
    <w:p w:rsidR="00000000" w:rsidRPr="003409B0" w:rsidP="003409B0">
      <w:pPr>
        <w:pStyle w:val="ListBullet2"/>
      </w:pPr>
      <w:r w:rsidRPr="003409B0">
        <w:t>emergency evacuation lighting in buildings, i</w:t>
      </w:r>
      <w:r w:rsidRPr="003409B0">
        <w:t>ncluding:</w:t>
      </w:r>
    </w:p>
    <w:p w:rsidR="00000000" w:rsidRPr="003409B0" w:rsidP="003409B0">
      <w:pPr>
        <w:pStyle w:val="ListBullet3"/>
      </w:pPr>
      <w:r w:rsidRPr="003409B0">
        <w:t>escape and standby lighting</w:t>
      </w:r>
    </w:p>
    <w:p w:rsidR="00000000" w:rsidRPr="003409B0" w:rsidP="003409B0">
      <w:pPr>
        <w:pStyle w:val="ListBullet3"/>
      </w:pPr>
      <w:r w:rsidRPr="003409B0">
        <w:t>installation requirements of emergency lighting luminaires</w:t>
      </w:r>
    </w:p>
    <w:p w:rsidR="00000000" w:rsidRPr="003409B0" w:rsidP="003409B0">
      <w:pPr>
        <w:pStyle w:val="ListBullet3"/>
      </w:pPr>
      <w:r w:rsidRPr="003409B0">
        <w:t>installation of smoke detection in domestic and residential premises</w:t>
      </w:r>
    </w:p>
    <w:p w:rsidR="00000000" w:rsidRPr="003409B0" w:rsidP="003409B0">
      <w:pPr>
        <w:pStyle w:val="ListBullet3"/>
      </w:pPr>
      <w:r w:rsidRPr="003409B0">
        <w:t>inspection and maintenance of emergency lighting and smoke detectors</w:t>
      </w:r>
    </w:p>
    <w:p w:rsidR="00000000" w:rsidRPr="003409B0" w:rsidP="003409B0">
      <w:pPr>
        <w:pStyle w:val="ListBullet3"/>
      </w:pPr>
      <w:r w:rsidRPr="003409B0">
        <w:t>recording requirements</w:t>
      </w:r>
    </w:p>
    <w:p w:rsidR="00000000" w:rsidRPr="003409B0" w:rsidP="003409B0">
      <w:pPr>
        <w:pStyle w:val="ListBullet"/>
      </w:pPr>
      <w:r w:rsidRPr="003409B0">
        <w:t>light sources, including:</w:t>
      </w:r>
    </w:p>
    <w:p w:rsidR="00000000" w:rsidRPr="003409B0" w:rsidP="003409B0">
      <w:pPr>
        <w:pStyle w:val="ListBullet2"/>
      </w:pPr>
      <w:r w:rsidRPr="003409B0">
        <w:t>lamp type and their characteristics</w:t>
      </w:r>
    </w:p>
    <w:p w:rsidR="00000000" w:rsidRPr="003409B0" w:rsidP="003409B0">
      <w:pPr>
        <w:pStyle w:val="ListBullet2"/>
      </w:pPr>
      <w:r w:rsidRPr="003409B0">
        <w:t>the operating principles of various types of lamps and luminaries and the purpose of their auxiliary control equipment</w:t>
      </w:r>
    </w:p>
    <w:p w:rsidR="00000000" w:rsidRPr="003409B0" w:rsidP="003409B0">
      <w:pPr>
        <w:pStyle w:val="ListBullet2"/>
      </w:pPr>
      <w:r w:rsidRPr="003409B0">
        <w:t>energy efficiency</w:t>
      </w:r>
    </w:p>
    <w:p w:rsidR="00000000" w:rsidRPr="003409B0" w:rsidP="003409B0">
      <w:pPr>
        <w:pStyle w:val="ListBullet2"/>
      </w:pPr>
      <w:r w:rsidRPr="003409B0">
        <w:t>the cause of low power factor and the measures used to improve power factor in discharge lighting</w:t>
      </w:r>
    </w:p>
    <w:p w:rsidR="00000000" w:rsidRPr="003409B0" w:rsidP="003409B0">
      <w:pPr>
        <w:pStyle w:val="ListBullet2"/>
      </w:pPr>
      <w:r w:rsidRPr="003409B0">
        <w:t>Australian/New Zealand Wiring Rules requirements for the installation of lighting equipment and accessories, including related hazards and safety requirements</w:t>
      </w:r>
    </w:p>
    <w:p w:rsidR="00000000" w:rsidRPr="003409B0" w:rsidP="003409B0">
      <w:pPr>
        <w:pStyle w:val="ListBullet2"/>
      </w:pPr>
      <w:r w:rsidRPr="003409B0">
        <w:t>application of various types of lamps and luminaires</w:t>
      </w:r>
    </w:p>
    <w:p w:rsidR="00000000" w:rsidRPr="003409B0" w:rsidP="003409B0">
      <w:pPr>
        <w:pStyle w:val="ListBullet2"/>
      </w:pPr>
      <w:r w:rsidRPr="003409B0">
        <w:t>‘stroboscopic effect’ and the methods used to overcome, including:</w:t>
      </w:r>
    </w:p>
    <w:p w:rsidR="00000000" w:rsidRPr="003409B0" w:rsidP="003409B0">
      <w:pPr>
        <w:pStyle w:val="ListBullet3"/>
      </w:pPr>
      <w:r w:rsidRPr="003409B0">
        <w:t>‘non-stroboscopic’ circuit (inclusion of a capacitor in one fluorescent lamp circuit to provide phase shift in relation to the other l</w:t>
      </w:r>
      <w:r w:rsidRPr="003409B0">
        <w:t>amp circuit)</w:t>
      </w:r>
    </w:p>
    <w:p w:rsidR="00000000" w:rsidRPr="003409B0" w:rsidP="003409B0">
      <w:pPr>
        <w:pStyle w:val="ListBullet3"/>
      </w:pPr>
      <w:r w:rsidRPr="003409B0">
        <w:t>connecting adjacent lamps to different phases in large installations</w:t>
      </w:r>
    </w:p>
    <w:p w:rsidR="00000000" w:rsidRPr="003409B0" w:rsidP="003409B0">
      <w:pPr>
        <w:pStyle w:val="ListBullet3"/>
      </w:pPr>
      <w:r w:rsidRPr="003409B0">
        <w:t>electronic lamp circuits operating at high frequencies</w:t>
      </w:r>
    </w:p>
    <w:p w:rsidR="00000000" w:rsidRPr="003409B0" w:rsidP="003409B0">
      <w:pPr>
        <w:pStyle w:val="ListBullet"/>
      </w:pPr>
      <w:r w:rsidRPr="003409B0">
        <w:t>lighting circuits, including:</w:t>
      </w:r>
    </w:p>
    <w:p w:rsidR="00000000" w:rsidRPr="003409B0" w:rsidP="003409B0">
      <w:pPr>
        <w:pStyle w:val="ListBullet2"/>
      </w:pPr>
      <w:r w:rsidRPr="003409B0">
        <w:t>single light controlled by a single switch</w:t>
      </w:r>
    </w:p>
    <w:p w:rsidR="00000000" w:rsidRPr="003409B0" w:rsidP="003409B0">
      <w:pPr>
        <w:pStyle w:val="ListBullet2"/>
      </w:pPr>
      <w:r w:rsidRPr="003409B0">
        <w:t>multiple lights controlled by a single switch</w:t>
      </w:r>
    </w:p>
    <w:p w:rsidR="00000000" w:rsidRPr="003409B0" w:rsidP="003409B0">
      <w:pPr>
        <w:pStyle w:val="ListBullet2"/>
      </w:pPr>
      <w:r w:rsidRPr="003409B0">
        <w:t>two and three-way switching using the loop at the light method and the loop at the switch method</w:t>
      </w:r>
    </w:p>
    <w:p w:rsidR="00000000" w:rsidRPr="003409B0" w:rsidP="003409B0">
      <w:pPr>
        <w:pStyle w:val="ListBullet"/>
      </w:pPr>
      <w:r w:rsidRPr="003409B0">
        <w:t>lighting control, including:</w:t>
      </w:r>
    </w:p>
    <w:p w:rsidR="00000000" w:rsidRPr="003409B0" w:rsidP="003409B0">
      <w:pPr>
        <w:pStyle w:val="ListBullet2"/>
      </w:pPr>
      <w:r w:rsidRPr="003409B0">
        <w:t>manual control involving the use of two-way and intermediate switches</w:t>
      </w:r>
    </w:p>
    <w:p w:rsidR="00000000" w:rsidRPr="003409B0" w:rsidP="003409B0">
      <w:pPr>
        <w:pStyle w:val="ListBullet2"/>
      </w:pPr>
      <w:r w:rsidRPr="003409B0">
        <w:t>time switches both analogue and digital for programmed control</w:t>
      </w:r>
    </w:p>
    <w:p w:rsidR="00000000" w:rsidRPr="003409B0" w:rsidP="003409B0">
      <w:pPr>
        <w:pStyle w:val="ListBullet2"/>
      </w:pPr>
      <w:r w:rsidRPr="003409B0">
        <w:t>time delay switches that are adjustable and may be air-valve or electronic type</w:t>
      </w:r>
    </w:p>
    <w:p w:rsidR="00000000" w:rsidRPr="003409B0" w:rsidP="003409B0">
      <w:pPr>
        <w:pStyle w:val="ListBullet2"/>
      </w:pPr>
      <w:r w:rsidRPr="003409B0">
        <w:t>photo-sensitive electronic control used to control outdoor and street lighting</w:t>
      </w:r>
    </w:p>
    <w:p w:rsidR="00000000" w:rsidRPr="003409B0" w:rsidP="003409B0">
      <w:pPr>
        <w:pStyle w:val="ListBullet2"/>
      </w:pPr>
      <w:r w:rsidRPr="003409B0">
        <w:t xml:space="preserve">passive infrared (PIR) technology </w:t>
      </w:r>
      <w:r w:rsidRPr="003409B0">
        <w:t>used in scanning devices to detect movement of a hot or cold body and automatically switch on security or convenience lighting</w:t>
      </w:r>
    </w:p>
    <w:p w:rsidR="00000000" w:rsidRPr="003409B0" w:rsidP="003409B0">
      <w:pPr>
        <w:pStyle w:val="ListBullet2"/>
      </w:pPr>
      <w:r w:rsidRPr="003409B0">
        <w:t>various types light dimmers, including electronic</w:t>
      </w:r>
    </w:p>
    <w:p w:rsidR="00000000" w:rsidRPr="003409B0" w:rsidP="003409B0">
      <w:pPr>
        <w:pStyle w:val="ListBullet2"/>
      </w:pPr>
      <w:r w:rsidRPr="003409B0">
        <w:t>lighting management systems, e.g. C-Bus.</w:t>
      </w:r>
    </w:p>
    <w:p w:rsidR="00000000" w:rsidRPr="003409B0" w:rsidP="003409B0">
      <w:pPr>
        <w:pStyle w:val="AllowPageBreak"/>
      </w:pPr>
    </w:p>
    <w:p w:rsidR="00000000" w:rsidRPr="003409B0" w:rsidP="003409B0">
      <w:pPr>
        <w:pStyle w:val="Heading1"/>
      </w:pPr>
      <w:bookmarkStart w:id="13" w:name="O_968691"/>
      <w:bookmarkEnd w:id="13"/>
      <w:r w:rsidRPr="003409B0">
        <w:t>Assessment Conditions</w:t>
      </w:r>
    </w:p>
    <w:p w:rsidR="00000000" w:rsidRPr="003409B0" w:rsidP="003409B0">
      <w:pPr>
        <w:pStyle w:val="ListBullet"/>
      </w:pPr>
      <w:r w:rsidRPr="003409B0">
        <w:t>Assessors must:</w:t>
      </w:r>
    </w:p>
    <w:p w:rsidR="00000000" w:rsidRPr="003409B0" w:rsidP="003409B0">
      <w:pPr>
        <w:pStyle w:val="ListBullet2"/>
      </w:pPr>
      <w:r w:rsidRPr="003409B0">
        <w:t xml:space="preserve">have vocational competency in installing and troubleshooting luminaires and ancillary equipment at least to the level being assessed with relevant industry knowledge and experience </w:t>
      </w:r>
    </w:p>
    <w:p w:rsidR="00000000" w:rsidRPr="003409B0" w:rsidP="003409B0">
      <w:pPr>
        <w:pStyle w:val="ListBullet2"/>
      </w:pPr>
      <w:r w:rsidRPr="003409B0">
        <w:t xml:space="preserve">satisfy the assessor requirements in the </w:t>
      </w:r>
      <w:r w:rsidRPr="003409B0">
        <w:rPr>
          <w:rStyle w:val="Emphasis"/>
        </w:rPr>
        <w:t>Standards for Registered Training Organisations 2015</w:t>
      </w:r>
      <w:r w:rsidRPr="003409B0">
        <w:t xml:space="preserve"> and comply with the </w:t>
      </w:r>
      <w:r w:rsidRPr="003409B0">
        <w:rPr>
          <w:rStyle w:val="Emphasis"/>
        </w:rPr>
        <w:t>National Vocational Education and Training Regulator Act 2011</w:t>
      </w:r>
      <w:r w:rsidRPr="003409B0">
        <w:t xml:space="preserve"> or equivalent legislation covering VET regulation in a non-referring State as the case requires.</w:t>
      </w:r>
    </w:p>
    <w:p w:rsidR="00000000" w:rsidRPr="003409B0" w:rsidP="003409B0">
      <w:pPr>
        <w:pStyle w:val="ListBullet"/>
      </w:pPr>
      <w:r w:rsidRPr="003409B0">
        <w:t>Where possible assessme</w:t>
      </w:r>
      <w:r w:rsidRPr="003409B0">
        <w:t xml:space="preserve">nt must occur in operational workplace situations. Where this is not possible or where personal safety or environmental damage are limiting factors, assessment must occur in a sufficiently rigorous simulated environment that reflects realistic operational </w:t>
      </w:r>
      <w:r w:rsidRPr="003409B0">
        <w:t>workplace conditions. This must cover all aspects of workplace performance, including environment, task skills, task management skills, contingency management skills and job role environment skills.</w:t>
      </w:r>
    </w:p>
    <w:p w:rsidR="00000000" w:rsidRPr="003409B0" w:rsidP="003409B0">
      <w:pPr>
        <w:pStyle w:val="ListBullet"/>
      </w:pPr>
      <w:r w:rsidRPr="003409B0">
        <w:t>Conditions for assessment must include access to all tool</w:t>
      </w:r>
      <w:r w:rsidRPr="003409B0">
        <w:t>s, equipment, materials and documentation required, including relevant workplace procedures, product and manufacturing specifications.</w:t>
      </w:r>
    </w:p>
    <w:p w:rsidR="00000000" w:rsidRPr="003409B0" w:rsidP="003409B0">
      <w:pPr>
        <w:pStyle w:val="ListBullet"/>
      </w:pPr>
      <w:r w:rsidRPr="003409B0">
        <w:t>Assessment processes and techniques must be appropriate to the language, literacy and numeracy requirements of the work b</w:t>
      </w:r>
      <w:r w:rsidRPr="003409B0">
        <w:t>eing performed and the needs of the candidate.</w:t>
      </w:r>
    </w:p>
    <w:p w:rsidR="00000000" w:rsidRPr="003409B0" w:rsidP="003409B0">
      <w:pPr>
        <w:pStyle w:val="AllowPageBreak"/>
      </w:pPr>
    </w:p>
    <w:p w:rsidR="00000000" w:rsidRPr="003409B0" w:rsidP="003409B0">
      <w:pPr>
        <w:pStyle w:val="Heading1"/>
      </w:pPr>
      <w:bookmarkStart w:id="14" w:name="O_968706"/>
      <w:bookmarkEnd w:id="14"/>
      <w:r w:rsidRPr="003409B0">
        <w:t>Links</w:t>
      </w:r>
    </w:p>
    <w:p w:rsidR="00000000" w:rsidRPr="003409B0" w:rsidP="00DC6752">
      <w:pPr>
        <w:pStyle w:val="BodyText"/>
      </w:pPr>
      <w:r w:rsidRPr="003409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30DA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409B0" w:rsidP="003409B0"/>
    <w:sectPr w:rsidSect="003409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B0" w:rsidRPr="00DC6752" w:rsidP="00DC6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752" w:rsidP="00340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C6752" w:rsidP="00340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6752" w:rsidP="003409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B0" w:rsidP="003409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6752">
      <w:t>Approved</w:t>
    </w:r>
    <w:r w:rsidR="00DC67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675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6752">
      <w:rPr>
        <w:noProof/>
      </w:rPr>
      <w:t>6</w:t>
    </w:r>
    <w:r>
      <w:rPr>
        <w:noProof/>
      </w:rPr>
      <w:fldChar w:fldCharType="end"/>
    </w:r>
  </w:p>
  <w:p w:rsidR="003409B0" w:rsidP="003409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67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6752">
      <w:t>Manufacturing Industry Skills Alliance</w:t>
    </w:r>
    <w:r w:rsidR="00DC6752">
      <w:fldChar w:fldCharType="end"/>
    </w:r>
  </w:p>
  <w:p w:rsidR="003409B0" w:rsidP="003409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7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9B0" w:rsidRPr="00DC6752" w:rsidP="00DC67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752" w:rsidRPr="002D2AF8" w:rsidP="00340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MEM10024 Install and troubleshoot luminaires and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6752" w:rsidP="003409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B0" w:rsidRPr="002D2AF8" w:rsidP="003409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6752">
      <w:t>MEM10024 Install and troubleshoot luminaires and ancillary equipment</w:t>
    </w:r>
    <w:r w:rsidR="00DC67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6752">
      <w:rPr>
        <w:noProof/>
      </w:rPr>
      <w:t>2 March 2025</w:t>
    </w:r>
    <w:r>
      <w:fldChar w:fldCharType="end"/>
    </w:r>
  </w:p>
  <w:p w:rsidR="003409B0" w:rsidP="003409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24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149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43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9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9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9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9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9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9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9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9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9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9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9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9B0"/>
  </w:style>
  <w:style w:type="character" w:customStyle="1" w:styleId="Heading1Char">
    <w:name w:val="Heading 1 Char"/>
    <w:basedOn w:val="DefaultParagraphFont"/>
    <w:link w:val="Heading1"/>
    <w:rsid w:val="003409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9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9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9B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9B0"/>
    <w:rPr>
      <w:b/>
      <w:spacing w:val="0"/>
    </w:rPr>
  </w:style>
  <w:style w:type="paragraph" w:styleId="ListBullet2">
    <w:name w:val="List Bullet 2"/>
    <w:basedOn w:val="List2"/>
    <w:rsid w:val="003409B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09B0"/>
    <w:rPr>
      <w:i/>
    </w:rPr>
  </w:style>
  <w:style w:type="paragraph" w:customStyle="1" w:styleId="SuperHeading">
    <w:name w:val="SuperHeading"/>
    <w:basedOn w:val="Normal"/>
    <w:rsid w:val="003409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9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09B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09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9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9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9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9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9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9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9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9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9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9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9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9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9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9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9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9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9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9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9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9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9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9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9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9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9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9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9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9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9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09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9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9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9B0"/>
  </w:style>
  <w:style w:type="paragraph" w:styleId="TableofFigures">
    <w:name w:val="table of figures"/>
    <w:basedOn w:val="Normal"/>
    <w:next w:val="Normal"/>
    <w:semiHidden/>
    <w:rsid w:val="003409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9B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09B0"/>
    <w:rPr>
      <w:rFonts w:ascii="Wingdings" w:hAnsi="Wingdings"/>
    </w:rPr>
  </w:style>
  <w:style w:type="paragraph" w:customStyle="1" w:styleId="TableHeading">
    <w:name w:val="Table Heading"/>
    <w:basedOn w:val="HeadingBase"/>
    <w:rsid w:val="003409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9B0"/>
    <w:rPr>
      <w:color w:val="0033CC"/>
      <w:u w:val="none"/>
    </w:rPr>
  </w:style>
  <w:style w:type="paragraph" w:customStyle="1" w:styleId="BodyTextRight">
    <w:name w:val="Body Text Right"/>
    <w:basedOn w:val="BodyText"/>
    <w:rsid w:val="003409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9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9B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9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9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9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9B0"/>
    <w:rPr>
      <w:sz w:val="32"/>
    </w:rPr>
  </w:style>
  <w:style w:type="paragraph" w:customStyle="1" w:styleId="HeadingProcedure">
    <w:name w:val="Heading Procedure"/>
    <w:basedOn w:val="HeadingBase"/>
    <w:next w:val="Normal"/>
    <w:rsid w:val="003409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9B0"/>
    <w:pPr>
      <w:spacing w:before="60" w:after="60"/>
    </w:pPr>
  </w:style>
  <w:style w:type="paragraph" w:styleId="ListContinue">
    <w:name w:val="List Continue"/>
    <w:basedOn w:val="List"/>
    <w:rsid w:val="003409B0"/>
    <w:pPr>
      <w:ind w:firstLine="0"/>
    </w:pPr>
  </w:style>
  <w:style w:type="paragraph" w:customStyle="1" w:styleId="ListNote">
    <w:name w:val="List Note"/>
    <w:basedOn w:val="List"/>
    <w:rsid w:val="003409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9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9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9B0"/>
    <w:rPr>
      <w:rFonts w:ascii="Courier New" w:hAnsi="Courier New"/>
    </w:rPr>
  </w:style>
  <w:style w:type="paragraph" w:customStyle="1" w:styleId="NoteBullet">
    <w:name w:val="Note Bullet"/>
    <w:basedOn w:val="Note"/>
    <w:rsid w:val="003409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9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9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9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9B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09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9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9B0"/>
    <w:rPr>
      <w:b/>
      <w:smallCaps/>
    </w:rPr>
  </w:style>
  <w:style w:type="paragraph" w:customStyle="1" w:styleId="TableListNumber">
    <w:name w:val="Table List Number"/>
    <w:basedOn w:val="ListNumber"/>
    <w:rsid w:val="003409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9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9B0"/>
    <w:pPr>
      <w:numPr>
        <w:numId w:val="10"/>
      </w:numPr>
    </w:pPr>
  </w:style>
  <w:style w:type="paragraph" w:customStyle="1" w:styleId="ListAlpha2">
    <w:name w:val="List Alpha 2"/>
    <w:basedOn w:val="List2"/>
    <w:rsid w:val="003409B0"/>
    <w:pPr>
      <w:numPr>
        <w:numId w:val="9"/>
      </w:numPr>
    </w:pPr>
  </w:style>
  <w:style w:type="paragraph" w:styleId="List2">
    <w:name w:val="List 2"/>
    <w:basedOn w:val="BodyText"/>
    <w:rsid w:val="003409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9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9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9B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09B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09B0"/>
    <w:pPr>
      <w:numPr>
        <w:numId w:val="5"/>
      </w:numPr>
    </w:pPr>
  </w:style>
  <w:style w:type="paragraph" w:styleId="ListContinue2">
    <w:name w:val="List Continue 2"/>
    <w:basedOn w:val="List2"/>
    <w:rsid w:val="003409B0"/>
    <w:pPr>
      <w:ind w:firstLine="0"/>
    </w:pPr>
  </w:style>
  <w:style w:type="paragraph" w:styleId="ListContinue3">
    <w:name w:val="List Continue 3"/>
    <w:basedOn w:val="List3"/>
    <w:rsid w:val="003409B0"/>
    <w:pPr>
      <w:ind w:left="1021" w:firstLine="0"/>
    </w:pPr>
  </w:style>
  <w:style w:type="paragraph" w:styleId="ListContinue4">
    <w:name w:val="List Continue 4"/>
    <w:basedOn w:val="List4"/>
    <w:rsid w:val="003409B0"/>
    <w:pPr>
      <w:ind w:firstLine="0"/>
    </w:pPr>
  </w:style>
  <w:style w:type="paragraph" w:styleId="ListContinue5">
    <w:name w:val="List Continue 5"/>
    <w:basedOn w:val="List5"/>
    <w:rsid w:val="003409B0"/>
    <w:pPr>
      <w:ind w:firstLine="0"/>
    </w:pPr>
  </w:style>
  <w:style w:type="paragraph" w:styleId="ListNumber3">
    <w:name w:val="List Number 3"/>
    <w:basedOn w:val="List3"/>
    <w:rsid w:val="003409B0"/>
    <w:pPr>
      <w:numPr>
        <w:numId w:val="6"/>
      </w:numPr>
    </w:pPr>
  </w:style>
  <w:style w:type="paragraph" w:styleId="ListNumber4">
    <w:name w:val="List Number 4"/>
    <w:basedOn w:val="List4"/>
    <w:rsid w:val="003409B0"/>
    <w:pPr>
      <w:numPr>
        <w:numId w:val="7"/>
      </w:numPr>
    </w:pPr>
  </w:style>
  <w:style w:type="paragraph" w:styleId="ListNumber5">
    <w:name w:val="List Number 5"/>
    <w:basedOn w:val="List5"/>
    <w:rsid w:val="003409B0"/>
    <w:pPr>
      <w:numPr>
        <w:numId w:val="8"/>
      </w:numPr>
    </w:pPr>
  </w:style>
  <w:style w:type="paragraph" w:styleId="BlockText">
    <w:name w:val="Block Text"/>
    <w:basedOn w:val="Normal"/>
    <w:rsid w:val="003409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9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9B0"/>
    <w:rPr>
      <w:sz w:val="16"/>
      <w:vertAlign w:val="superscript"/>
    </w:rPr>
  </w:style>
  <w:style w:type="character" w:customStyle="1" w:styleId="Symbols">
    <w:name w:val="Symbols"/>
    <w:basedOn w:val="DefaultParagraphFont"/>
    <w:rsid w:val="003409B0"/>
    <w:rPr>
      <w:rFonts w:ascii="Symbol" w:hAnsi="Symbol"/>
    </w:rPr>
  </w:style>
  <w:style w:type="character" w:customStyle="1" w:styleId="MenuOptions">
    <w:name w:val="Menu Options"/>
    <w:basedOn w:val="DefaultParagraphFont"/>
    <w:rsid w:val="003409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9B0"/>
    <w:rPr>
      <w:b/>
    </w:rPr>
  </w:style>
  <w:style w:type="character" w:customStyle="1" w:styleId="Underlined">
    <w:name w:val="Underlined"/>
    <w:basedOn w:val="DefaultParagraphFont"/>
    <w:rsid w:val="003409B0"/>
    <w:rPr>
      <w:u w:val="single"/>
    </w:rPr>
  </w:style>
  <w:style w:type="paragraph" w:customStyle="1" w:styleId="TableBodyTextRight">
    <w:name w:val="Table Body Text Right"/>
    <w:basedOn w:val="TableBodyText"/>
    <w:rsid w:val="003409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9B0"/>
    <w:rPr>
      <w:sz w:val="18"/>
    </w:rPr>
  </w:style>
  <w:style w:type="paragraph" w:customStyle="1" w:styleId="BodySmallRight">
    <w:name w:val="Body Small Right"/>
    <w:basedOn w:val="BodyTextRight"/>
    <w:rsid w:val="003409B0"/>
    <w:rPr>
      <w:sz w:val="18"/>
      <w:szCs w:val="18"/>
    </w:rPr>
  </w:style>
  <w:style w:type="paragraph" w:customStyle="1" w:styleId="MarginEdition">
    <w:name w:val="Margin Edition"/>
    <w:basedOn w:val="MarginNote"/>
    <w:rsid w:val="003409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9B0"/>
    <w:rPr>
      <w:sz w:val="2"/>
      <w:szCs w:val="2"/>
    </w:rPr>
  </w:style>
  <w:style w:type="character" w:customStyle="1" w:styleId="Small">
    <w:name w:val="Small"/>
    <w:basedOn w:val="DefaultParagraphFont"/>
    <w:rsid w:val="003409B0"/>
    <w:rPr>
      <w:sz w:val="16"/>
    </w:rPr>
  </w:style>
  <w:style w:type="paragraph" w:customStyle="1" w:styleId="WideTable">
    <w:name w:val="Wide Table"/>
    <w:basedOn w:val="Normal"/>
    <w:rsid w:val="003409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9B0"/>
  </w:style>
  <w:style w:type="paragraph" w:styleId="Quote">
    <w:name w:val="Quote"/>
    <w:basedOn w:val="Heading1"/>
    <w:link w:val="QuoteChar"/>
    <w:qFormat/>
    <w:rsid w:val="003409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9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9B0"/>
    <w:pPr>
      <w:pageBreakBefore/>
    </w:pPr>
  </w:style>
  <w:style w:type="paragraph" w:customStyle="1" w:styleId="Border">
    <w:name w:val="Border"/>
    <w:basedOn w:val="Normal"/>
    <w:qFormat/>
    <w:rsid w:val="003409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9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9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9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9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9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9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9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9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9B0"/>
    <w:rPr>
      <w:u w:val="single"/>
    </w:rPr>
  </w:style>
  <w:style w:type="character" w:customStyle="1" w:styleId="BoldandItalics">
    <w:name w:val="Bold and Italics"/>
    <w:qFormat/>
    <w:rsid w:val="003409B0"/>
    <w:rPr>
      <w:b/>
      <w:i/>
      <w:u w:val="none"/>
    </w:rPr>
  </w:style>
  <w:style w:type="paragraph" w:styleId="BalloonText">
    <w:name w:val="Balloon Text"/>
    <w:basedOn w:val="Normal"/>
    <w:link w:val="BalloonTextChar"/>
    <w:rsid w:val="003409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9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9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9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9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9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9B0"/>
    <w:pPr>
      <w:spacing w:before="0" w:after="0"/>
    </w:pPr>
  </w:style>
  <w:style w:type="paragraph" w:customStyle="1" w:styleId="BodyTextBold">
    <w:name w:val="Body Text Bold"/>
    <w:basedOn w:val="BodyText"/>
    <w:qFormat/>
    <w:rsid w:val="003409B0"/>
    <w:rPr>
      <w:b/>
    </w:rPr>
  </w:style>
  <w:style w:type="character" w:styleId="Hyperlink">
    <w:name w:val="Hyperlink"/>
    <w:basedOn w:val="DefaultParagraphFont"/>
    <w:uiPriority w:val="99"/>
    <w:unhideWhenUsed/>
    <w:rsid w:val="00DC67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1859</Words>
  <Characters>12221</Characters>
  <Application>Microsoft Office Word</Application>
  <DocSecurity>0</DocSecurity>
  <Lines>359</Lines>
  <Paragraphs>219</Paragraphs>
  <ScaleCrop>false</ScaleCrop>
  <Company>Author-it Software Corporation Ltd.</Company>
  <LinksUpToDate>false</LinksUpToDate>
  <CharactersWithSpaces>13861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MEM10024 Install and troubleshoot luminaires and ancillary equipment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