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1103" w:rsidP="009A1103">
      <w:pPr>
        <w:pStyle w:val="Title"/>
      </w:pPr>
      <w:r>
        <w:fldChar w:fldCharType="begin"/>
      </w:r>
      <w:r>
        <w:instrText xml:space="preserve"> TITLE   \* MERGEFORMAT </w:instrText>
      </w:r>
      <w:r>
        <w:fldChar w:fldCharType="separate"/>
      </w:r>
      <w:r>
        <w:t>Assessment Requirements for MEM10023 Design and connect control switching of circuits for building services and industrial equipment</w:t>
      </w:r>
      <w:r>
        <w:fldChar w:fldCharType="end"/>
      </w:r>
    </w:p>
    <w:p w:rsidR="009A1103" w:rsidP="009A1103">
      <w:pPr>
        <w:pStyle w:val="Version"/>
        <w:sectPr w:rsidSect="004F0A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F0AB7" w:rsidP="004F0AB7">
      <w:pPr>
        <w:pStyle w:val="SuperHeading"/>
      </w:pPr>
      <w:r w:rsidRPr="004F0AB7">
        <w:t>Assessment Requirements for MEM10023 Design and connect control switching of circuits for building services and industrial equipment</w:t>
      </w:r>
    </w:p>
    <w:p w:rsidR="00000000" w:rsidRPr="004F0AB7" w:rsidP="004F0AB7">
      <w:pPr>
        <w:pStyle w:val="Heading1"/>
      </w:pPr>
      <w:bookmarkStart w:id="1" w:name="O_968676"/>
      <w:bookmarkEnd w:id="1"/>
      <w:r w:rsidRPr="004F0AB7">
        <w:t>Modification History</w:t>
      </w:r>
    </w:p>
    <w:p w:rsidR="00000000" w:rsidRPr="004F0AB7" w:rsidP="009A1103">
      <w:pPr>
        <w:pStyle w:val="Heading3"/>
      </w:pPr>
      <w:r w:rsidRPr="004F0AB7">
        <w:t>Release 3. Prerequisite units updated</w:t>
      </w:r>
    </w:p>
    <w:p w:rsidR="00000000" w:rsidRPr="004F0AB7" w:rsidP="009A1103">
      <w:pPr>
        <w:pStyle w:val="BodyText"/>
      </w:pPr>
      <w:r w:rsidRPr="004F0AB7">
        <w:t>Release 2. Minor adjustments to reflect ERAC requirements for electrician licensing and revision of Essential Performance Capabilities</w:t>
      </w:r>
    </w:p>
    <w:p w:rsidR="00000000" w:rsidRPr="004F0AB7" w:rsidP="009A1103">
      <w:pPr>
        <w:pStyle w:val="BodyText"/>
      </w:pPr>
      <w:r w:rsidRPr="004F0AB7">
        <w:t>Release 1. New unit</w:t>
      </w:r>
    </w:p>
    <w:p w:rsidR="00000000" w:rsidRPr="004F0AB7" w:rsidP="004F0AB7">
      <w:pPr>
        <w:pStyle w:val="Heading1"/>
      </w:pPr>
      <w:bookmarkStart w:id="2" w:name="O_968675"/>
      <w:bookmarkEnd w:id="2"/>
      <w:r w:rsidRPr="004F0AB7">
        <w:t>Performance Evidence</w:t>
      </w:r>
    </w:p>
    <w:p w:rsidR="00000000" w:rsidRPr="004F0AB7" w:rsidP="009A1103">
      <w:pPr>
        <w:pStyle w:val="BodyText"/>
      </w:pPr>
      <w:r w:rsidRPr="004F0AB7">
        <w:t>Evidence required to demonstrate competence in this unit must b</w:t>
      </w:r>
      <w:r w:rsidRPr="004F0AB7">
        <w:t>e relevant to and satisfy the requirements of the elements and performance criteria on at least two (2) occasions and include:</w:t>
      </w:r>
    </w:p>
    <w:p w:rsidR="00000000" w:rsidRPr="004F0AB7" w:rsidP="004F0AB7">
      <w:pPr>
        <w:pStyle w:val="ListBullet"/>
      </w:pPr>
      <w:r w:rsidRPr="004F0AB7">
        <w:t xml:space="preserve">following work instructions, standard operating procedures (SOPs) and safe work practices </w:t>
      </w:r>
    </w:p>
    <w:p w:rsidR="00000000" w:rsidRPr="004F0AB7" w:rsidP="004F0AB7">
      <w:pPr>
        <w:pStyle w:val="ListBullet"/>
      </w:pPr>
      <w:r w:rsidRPr="004F0AB7">
        <w:t>identifying and interpreting circuits</w:t>
      </w:r>
      <w:r w:rsidRPr="004F0AB7">
        <w:t>, drawings, plans and specifications relevant to the work to be undertaken</w:t>
      </w:r>
    </w:p>
    <w:p w:rsidR="00000000" w:rsidRPr="004F0AB7" w:rsidP="004F0AB7">
      <w:pPr>
        <w:pStyle w:val="ListBullet"/>
      </w:pPr>
      <w:r w:rsidRPr="004F0AB7">
        <w:t>determining the electrical and non-electrical isolation requirements to prevent the creation of hazards linked from the loss of machine/system/process control according to establish</w:t>
      </w:r>
      <w:r w:rsidRPr="004F0AB7">
        <w:t>ed procedures</w:t>
      </w:r>
    </w:p>
    <w:p w:rsidR="00000000" w:rsidRPr="004F0AB7" w:rsidP="004F0AB7">
      <w:pPr>
        <w:pStyle w:val="ListBullet"/>
      </w:pPr>
      <w:r w:rsidRPr="004F0AB7">
        <w:t>using lock out tag procedures with appropriate tags/signs</w:t>
      </w:r>
    </w:p>
    <w:p w:rsidR="00000000" w:rsidRPr="004F0AB7" w:rsidP="004F0AB7">
      <w:pPr>
        <w:pStyle w:val="ListBullet"/>
      </w:pPr>
      <w:r w:rsidRPr="004F0AB7">
        <w:t>proving electrical isolation and following established safety rules prior to working on electrical equipment or wiring</w:t>
      </w:r>
    </w:p>
    <w:p w:rsidR="00000000" w:rsidRPr="004F0AB7" w:rsidP="004F0AB7">
      <w:pPr>
        <w:pStyle w:val="ListBullet"/>
      </w:pPr>
      <w:r w:rsidRPr="004F0AB7">
        <w:t>ensuring all electrical equipment and tools are tested and tagged</w:t>
      </w:r>
      <w:r w:rsidRPr="004F0AB7">
        <w:t xml:space="preserve"> and are up to date</w:t>
      </w:r>
    </w:p>
    <w:p w:rsidR="00000000" w:rsidRPr="004F0AB7" w:rsidP="004F0AB7">
      <w:pPr>
        <w:pStyle w:val="ListBullet"/>
      </w:pPr>
      <w:r w:rsidRPr="004F0AB7">
        <w:t>developing according to specifications at least five (5) or more of the following control circuit designs:</w:t>
      </w:r>
    </w:p>
    <w:p w:rsidR="00000000" w:rsidRPr="004F0AB7" w:rsidP="004F0AB7">
      <w:pPr>
        <w:pStyle w:val="ListBullet2"/>
      </w:pPr>
      <w:r w:rsidRPr="004F0AB7">
        <w:t>multiple light switching circuit</w:t>
      </w:r>
    </w:p>
    <w:p w:rsidR="00000000" w:rsidRPr="004F0AB7" w:rsidP="004F0AB7">
      <w:pPr>
        <w:pStyle w:val="ListBullet2"/>
      </w:pPr>
      <w:r w:rsidRPr="004F0AB7">
        <w:t>master control circuit</w:t>
      </w:r>
    </w:p>
    <w:p w:rsidR="00000000" w:rsidRPr="004F0AB7" w:rsidP="004F0AB7">
      <w:pPr>
        <w:pStyle w:val="ListBullet2"/>
      </w:pPr>
      <w:r w:rsidRPr="004F0AB7">
        <w:t>local start-stop control and with electrical interlocking</w:t>
      </w:r>
    </w:p>
    <w:p w:rsidR="00000000" w:rsidRPr="004F0AB7" w:rsidP="004F0AB7">
      <w:pPr>
        <w:pStyle w:val="ListBullet2"/>
      </w:pPr>
      <w:r w:rsidRPr="004F0AB7">
        <w:t>connecting a timer in a controlled circuit</w:t>
      </w:r>
    </w:p>
    <w:p w:rsidR="00000000" w:rsidRPr="004F0AB7" w:rsidP="004F0AB7">
      <w:pPr>
        <w:pStyle w:val="ListBullet2"/>
      </w:pPr>
      <w:r w:rsidRPr="004F0AB7">
        <w:t>a multiple motor starting circuit which incorporates start, stop and jog control</w:t>
      </w:r>
    </w:p>
    <w:p w:rsidR="00000000" w:rsidRPr="004F0AB7" w:rsidP="004F0AB7">
      <w:pPr>
        <w:pStyle w:val="ListBullet2"/>
      </w:pPr>
      <w:r w:rsidRPr="004F0AB7">
        <w:t>machine safety circuit</w:t>
      </w:r>
    </w:p>
    <w:p w:rsidR="00000000" w:rsidRPr="004F0AB7" w:rsidP="004F0AB7">
      <w:pPr>
        <w:pStyle w:val="ListBullet2"/>
      </w:pPr>
      <w:r w:rsidRPr="004F0AB7">
        <w:t>line conditioners</w:t>
      </w:r>
    </w:p>
    <w:p w:rsidR="00000000" w:rsidRPr="004F0AB7" w:rsidP="004F0AB7">
      <w:pPr>
        <w:pStyle w:val="ListBullet2"/>
      </w:pPr>
      <w:r w:rsidRPr="004F0AB7">
        <w:t>inverters</w:t>
      </w:r>
    </w:p>
    <w:p w:rsidR="00000000" w:rsidRPr="004F0AB7" w:rsidP="004F0AB7">
      <w:pPr>
        <w:pStyle w:val="ListBullet2"/>
      </w:pPr>
      <w:r w:rsidRPr="004F0AB7">
        <w:t>uninterrupted power supplies (UPS)</w:t>
      </w:r>
    </w:p>
    <w:p w:rsidR="00000000" w:rsidRPr="004F0AB7" w:rsidP="004F0AB7">
      <w:pPr>
        <w:pStyle w:val="ListBullet2"/>
      </w:pPr>
      <w:r w:rsidRPr="004F0AB7">
        <w:t>energy management systems</w:t>
      </w:r>
    </w:p>
    <w:p w:rsidR="00000000" w:rsidRPr="004F0AB7" w:rsidP="004F0AB7">
      <w:pPr>
        <w:pStyle w:val="ListBullet"/>
      </w:pPr>
      <w:r w:rsidRPr="004F0AB7">
        <w:t>terminating and con</w:t>
      </w:r>
      <w:r w:rsidRPr="004F0AB7">
        <w:t>necting to comply with the above selected control circuit scenarios and regulatory requirements at least five (5) or more of the following control circuit devices:</w:t>
      </w:r>
    </w:p>
    <w:p w:rsidR="00000000" w:rsidRPr="004F0AB7" w:rsidP="004F0AB7">
      <w:pPr>
        <w:pStyle w:val="ListBullet2"/>
      </w:pPr>
      <w:r w:rsidRPr="004F0AB7">
        <w:t xml:space="preserve">multi-way switches </w:t>
      </w:r>
    </w:p>
    <w:p w:rsidR="00000000" w:rsidRPr="004F0AB7" w:rsidP="004F0AB7">
      <w:pPr>
        <w:pStyle w:val="ListBullet2"/>
      </w:pPr>
      <w:r w:rsidRPr="004F0AB7">
        <w:t>switches with more than two positions and Off</w:t>
      </w:r>
    </w:p>
    <w:p w:rsidR="00000000" w:rsidRPr="004F0AB7" w:rsidP="004F0AB7">
      <w:pPr>
        <w:pStyle w:val="ListBullet2"/>
      </w:pPr>
      <w:r w:rsidRPr="004F0AB7">
        <w:t>push buttons</w:t>
      </w:r>
    </w:p>
    <w:p w:rsidR="00000000" w:rsidRPr="004F0AB7" w:rsidP="004F0AB7">
      <w:pPr>
        <w:pStyle w:val="ListBullet2"/>
      </w:pPr>
      <w:r w:rsidRPr="004F0AB7">
        <w:t>electromecha</w:t>
      </w:r>
      <w:r w:rsidRPr="004F0AB7">
        <w:t>nical relays</w:t>
      </w:r>
    </w:p>
    <w:p w:rsidR="00000000" w:rsidRPr="004F0AB7" w:rsidP="004F0AB7">
      <w:pPr>
        <w:pStyle w:val="ListBullet2"/>
      </w:pPr>
      <w:r w:rsidRPr="004F0AB7">
        <w:t>programmable relays</w:t>
      </w:r>
    </w:p>
    <w:p w:rsidR="00000000" w:rsidRPr="004F0AB7" w:rsidP="004F0AB7">
      <w:pPr>
        <w:pStyle w:val="ListBullet2"/>
      </w:pPr>
      <w:r w:rsidRPr="004F0AB7">
        <w:t>contactors</w:t>
      </w:r>
    </w:p>
    <w:p w:rsidR="00000000" w:rsidRPr="004F0AB7" w:rsidP="004F0AB7">
      <w:pPr>
        <w:pStyle w:val="ListBullet2"/>
      </w:pPr>
      <w:r w:rsidRPr="004F0AB7">
        <w:t>motor reversing contactors</w:t>
      </w:r>
    </w:p>
    <w:p w:rsidR="00000000" w:rsidRPr="004F0AB7" w:rsidP="004F0AB7">
      <w:pPr>
        <w:pStyle w:val="ListBullet2"/>
      </w:pPr>
      <w:r w:rsidRPr="004F0AB7">
        <w:t>three-phase starters</w:t>
      </w:r>
    </w:p>
    <w:p w:rsidR="00000000" w:rsidRPr="004F0AB7" w:rsidP="004F0AB7">
      <w:pPr>
        <w:pStyle w:val="ListBullet2"/>
      </w:pPr>
      <w:r w:rsidRPr="004F0AB7">
        <w:t>reduced voltage starters</w:t>
      </w:r>
    </w:p>
    <w:p w:rsidR="00000000" w:rsidRPr="004F0AB7" w:rsidP="004F0AB7">
      <w:pPr>
        <w:pStyle w:val="ListBullet2"/>
      </w:pPr>
      <w:r w:rsidRPr="004F0AB7">
        <w:t>transducers/sensors, including:</w:t>
      </w:r>
    </w:p>
    <w:p w:rsidR="00000000" w:rsidRPr="004F0AB7" w:rsidP="004F0AB7">
      <w:pPr>
        <w:pStyle w:val="ListBullet3"/>
      </w:pPr>
      <w:r w:rsidRPr="004F0AB7">
        <w:t>limit, proximity, float and pressure switches</w:t>
      </w:r>
    </w:p>
    <w:p w:rsidR="00000000" w:rsidRPr="004F0AB7" w:rsidP="004F0AB7">
      <w:pPr>
        <w:pStyle w:val="ListBullet3"/>
      </w:pPr>
      <w:r w:rsidRPr="004F0AB7">
        <w:t>photoelectric cells</w:t>
      </w:r>
    </w:p>
    <w:p w:rsidR="00000000" w:rsidRPr="004F0AB7" w:rsidP="004F0AB7">
      <w:pPr>
        <w:pStyle w:val="ListBullet3"/>
      </w:pPr>
      <w:r w:rsidRPr="004F0AB7">
        <w:t xml:space="preserve">light and temperature sensors </w:t>
      </w:r>
    </w:p>
    <w:p w:rsidR="00000000" w:rsidRPr="004F0AB7" w:rsidP="004F0AB7">
      <w:pPr>
        <w:pStyle w:val="ListBullet"/>
      </w:pPr>
      <w:r w:rsidRPr="004F0AB7">
        <w:t>programming timers and using the monitoring facility of the programmable relay to verify the values of the timer</w:t>
      </w:r>
    </w:p>
    <w:p w:rsidR="00000000" w:rsidRPr="004F0AB7" w:rsidP="004F0AB7">
      <w:pPr>
        <w:pStyle w:val="ListBullet"/>
      </w:pPr>
      <w:r w:rsidRPr="004F0AB7">
        <w:t>testing connected control circuit devices as against agreed design and rectifying any non-compliant functions</w:t>
      </w:r>
    </w:p>
    <w:p w:rsidR="00000000" w:rsidRPr="004F0AB7" w:rsidP="004F0AB7">
      <w:pPr>
        <w:pStyle w:val="ListBullet"/>
      </w:pPr>
      <w:r w:rsidRPr="004F0AB7">
        <w:t>complying with the Australian/New Zealand Wiring Rules and local supply requirements for three-phase motor installations and starters</w:t>
      </w:r>
    </w:p>
    <w:p w:rsidR="00000000" w:rsidRPr="004F0AB7" w:rsidP="004F0AB7">
      <w:pPr>
        <w:pStyle w:val="ListBullet"/>
      </w:pPr>
      <w:r w:rsidRPr="004F0AB7">
        <w:t>testing control circuits to ensure functionality</w:t>
      </w:r>
    </w:p>
    <w:p w:rsidR="00000000" w:rsidRPr="004F0AB7" w:rsidP="004F0AB7">
      <w:pPr>
        <w:pStyle w:val="ListBullet"/>
      </w:pPr>
      <w:r w:rsidRPr="004F0AB7">
        <w:t>using test equipment to locate faults, completing remedial action and ret</w:t>
      </w:r>
      <w:r w:rsidRPr="004F0AB7">
        <w:t>esting to ensure compliance</w:t>
      </w:r>
    </w:p>
    <w:p w:rsidR="00000000" w:rsidRPr="004F0AB7" w:rsidP="004F0AB7">
      <w:pPr>
        <w:pStyle w:val="ListBullet"/>
      </w:pPr>
      <w:r w:rsidRPr="004F0AB7">
        <w:t>documenting connected control circuits in accordance with SOPs.</w:t>
      </w:r>
    </w:p>
    <w:p w:rsidR="00000000" w:rsidRPr="004F0AB7" w:rsidP="004F0AB7">
      <w:pPr>
        <w:pStyle w:val="AllowPageBreak"/>
      </w:pPr>
    </w:p>
    <w:p w:rsidR="00000000" w:rsidRPr="004F0AB7" w:rsidP="004F0AB7">
      <w:pPr>
        <w:pStyle w:val="Heading1"/>
      </w:pPr>
      <w:bookmarkStart w:id="3" w:name="O_968674"/>
      <w:bookmarkEnd w:id="3"/>
      <w:r w:rsidRPr="004F0AB7">
        <w:t>Knowledge Evidence</w:t>
      </w:r>
    </w:p>
    <w:p w:rsidR="00000000" w:rsidRPr="004F0AB7" w:rsidP="009A1103">
      <w:pPr>
        <w:pStyle w:val="BodyText"/>
      </w:pPr>
      <w:r w:rsidRPr="004F0AB7">
        <w:t>Evidence required to demonstrate the required knowledge for this unit must be relevant to and satisfy the requirements of the el</w:t>
      </w:r>
      <w:r w:rsidRPr="004F0AB7">
        <w:t>ements and performance criteria and include knowledge of:</w:t>
      </w:r>
    </w:p>
    <w:p w:rsidR="00000000" w:rsidRPr="004F0AB7" w:rsidP="004F0AB7">
      <w:pPr>
        <w:pStyle w:val="ListBullet"/>
      </w:pPr>
      <w:r w:rsidRPr="004F0AB7">
        <w:t>safe work practices and procedures and use of personal protective equipment (PPE)</w:t>
      </w:r>
    </w:p>
    <w:p w:rsidR="00000000" w:rsidRPr="004F0AB7" w:rsidP="004F0AB7">
      <w:pPr>
        <w:pStyle w:val="ListBullet"/>
      </w:pPr>
      <w:r w:rsidRPr="004F0AB7">
        <w:t>electrical drawings – conventions in linework, symbols used in electrical circuit diagrams, placement and arrangeme</w:t>
      </w:r>
      <w:r w:rsidRPr="004F0AB7">
        <w:t>nt of circuit components</w:t>
      </w:r>
    </w:p>
    <w:p w:rsidR="00000000" w:rsidRPr="004F0AB7" w:rsidP="004F0AB7">
      <w:pPr>
        <w:pStyle w:val="ListBullet"/>
      </w:pPr>
      <w:r w:rsidRPr="004F0AB7">
        <w:t>drawing schematic circuit diagrams complying with Australian Drawing Standard AS/NZS 1102.101-1989 Graphical symbols for electrotechnical documentation – General information and general index, and converting to wiring diagrams</w:t>
      </w:r>
    </w:p>
    <w:p w:rsidR="00000000" w:rsidRPr="004F0AB7" w:rsidP="004F0AB7">
      <w:pPr>
        <w:pStyle w:val="ListBullet"/>
      </w:pPr>
      <w:r w:rsidRPr="004F0AB7">
        <w:t>cons</w:t>
      </w:r>
      <w:r w:rsidRPr="004F0AB7">
        <w:t>truction and operation of contactors and relays with various types of contacts, including:</w:t>
      </w:r>
    </w:p>
    <w:p w:rsidR="00000000" w:rsidRPr="004F0AB7" w:rsidP="004F0AB7">
      <w:pPr>
        <w:pStyle w:val="ListBullet2"/>
      </w:pPr>
      <w:r w:rsidRPr="004F0AB7">
        <w:t>normally open</w:t>
      </w:r>
    </w:p>
    <w:p w:rsidR="00000000" w:rsidRPr="004F0AB7" w:rsidP="004F0AB7">
      <w:pPr>
        <w:pStyle w:val="ListBullet2"/>
      </w:pPr>
      <w:r w:rsidRPr="004F0AB7">
        <w:t>normally closed</w:t>
      </w:r>
    </w:p>
    <w:p w:rsidR="00000000" w:rsidRPr="004F0AB7" w:rsidP="004F0AB7">
      <w:pPr>
        <w:pStyle w:val="ListBullet2"/>
      </w:pPr>
      <w:r w:rsidRPr="004F0AB7">
        <w:t>timed on closing</w:t>
      </w:r>
    </w:p>
    <w:p w:rsidR="00000000" w:rsidRPr="004F0AB7" w:rsidP="004F0AB7">
      <w:pPr>
        <w:pStyle w:val="ListBullet2"/>
      </w:pPr>
      <w:r w:rsidRPr="004F0AB7">
        <w:t>timed in opening</w:t>
      </w:r>
    </w:p>
    <w:p w:rsidR="00000000" w:rsidRPr="004F0AB7" w:rsidP="004F0AB7">
      <w:pPr>
        <w:pStyle w:val="ListBullet2"/>
      </w:pPr>
      <w:r w:rsidRPr="004F0AB7">
        <w:t>timed in both closing and opening</w:t>
      </w:r>
    </w:p>
    <w:p w:rsidR="00000000" w:rsidRPr="004F0AB7" w:rsidP="004F0AB7">
      <w:pPr>
        <w:pStyle w:val="ListBullet"/>
      </w:pPr>
      <w:r w:rsidRPr="004F0AB7">
        <w:t>drawing contactors in circuits and drawing conventions applied</w:t>
      </w:r>
    </w:p>
    <w:p w:rsidR="00000000" w:rsidRPr="004F0AB7" w:rsidP="004F0AB7">
      <w:pPr>
        <w:pStyle w:val="ListBullet"/>
      </w:pPr>
      <w:r w:rsidRPr="004F0AB7">
        <w:t>control diagrams drawn as ladder diagrams where the ladder stiles are the supply lines and the ladder rungs are the various circuit lines</w:t>
      </w:r>
    </w:p>
    <w:p w:rsidR="00000000" w:rsidRPr="004F0AB7" w:rsidP="004F0AB7">
      <w:pPr>
        <w:pStyle w:val="ListBullet"/>
      </w:pPr>
      <w:r w:rsidRPr="004F0AB7">
        <w:t>control circuit variations, including:</w:t>
      </w:r>
    </w:p>
    <w:p w:rsidR="00000000" w:rsidRPr="004F0AB7" w:rsidP="004F0AB7">
      <w:pPr>
        <w:pStyle w:val="ListBullet2"/>
      </w:pPr>
      <w:r w:rsidRPr="004F0AB7">
        <w:t>two-position control</w:t>
      </w:r>
    </w:p>
    <w:p w:rsidR="00000000" w:rsidRPr="004F0AB7" w:rsidP="004F0AB7">
      <w:pPr>
        <w:pStyle w:val="ListBullet2"/>
      </w:pPr>
      <w:r w:rsidRPr="004F0AB7">
        <w:t>local or remote operation</w:t>
      </w:r>
    </w:p>
    <w:p w:rsidR="00000000" w:rsidRPr="004F0AB7" w:rsidP="004F0AB7">
      <w:pPr>
        <w:pStyle w:val="ListBullet2"/>
      </w:pPr>
      <w:r w:rsidRPr="004F0AB7">
        <w:t>two-wire control</w:t>
      </w:r>
    </w:p>
    <w:p w:rsidR="00000000" w:rsidRPr="004F0AB7" w:rsidP="004F0AB7">
      <w:pPr>
        <w:pStyle w:val="ListBullet2"/>
      </w:pPr>
      <w:r w:rsidRPr="004F0AB7">
        <w:t>two-wire and p</w:t>
      </w:r>
      <w:r w:rsidRPr="004F0AB7">
        <w:t xml:space="preserve">ush button control where extra start push-buttons are all placed in parallel and where extra stop push-buttons are placed in series </w:t>
      </w:r>
    </w:p>
    <w:p w:rsidR="00000000" w:rsidRPr="004F0AB7" w:rsidP="004F0AB7">
      <w:pPr>
        <w:pStyle w:val="ListBullet2"/>
      </w:pPr>
      <w:r w:rsidRPr="004F0AB7">
        <w:t>reversing circuits – use of mechanical and electrical interlocks</w:t>
      </w:r>
    </w:p>
    <w:p w:rsidR="00000000" w:rsidRPr="004F0AB7" w:rsidP="004F0AB7">
      <w:pPr>
        <w:pStyle w:val="ListBullet2"/>
      </w:pPr>
      <w:r w:rsidRPr="004F0AB7">
        <w:t xml:space="preserve">jogging control </w:t>
      </w:r>
    </w:p>
    <w:p w:rsidR="00000000" w:rsidRPr="004F0AB7" w:rsidP="004F0AB7">
      <w:pPr>
        <w:pStyle w:val="ListBullet"/>
      </w:pPr>
      <w:r w:rsidRPr="004F0AB7">
        <w:t>common control devices used in circuits,</w:t>
      </w:r>
      <w:r w:rsidRPr="004F0AB7">
        <w:t xml:space="preserve"> including:</w:t>
      </w:r>
    </w:p>
    <w:p w:rsidR="00000000" w:rsidRPr="004F0AB7" w:rsidP="004F0AB7">
      <w:pPr>
        <w:pStyle w:val="ListBullet2"/>
      </w:pPr>
      <w:r w:rsidRPr="004F0AB7">
        <w:t>multi-way switches</w:t>
      </w:r>
    </w:p>
    <w:p w:rsidR="00000000" w:rsidRPr="004F0AB7" w:rsidP="004F0AB7">
      <w:pPr>
        <w:pStyle w:val="ListBullet2"/>
      </w:pPr>
      <w:r w:rsidRPr="004F0AB7">
        <w:t>switches with more than two positions and Off</w:t>
      </w:r>
    </w:p>
    <w:p w:rsidR="00000000" w:rsidRPr="004F0AB7" w:rsidP="004F0AB7">
      <w:pPr>
        <w:pStyle w:val="ListBullet2"/>
      </w:pPr>
      <w:r w:rsidRPr="004F0AB7">
        <w:t>push buttons</w:t>
      </w:r>
    </w:p>
    <w:p w:rsidR="00000000" w:rsidRPr="004F0AB7" w:rsidP="004F0AB7">
      <w:pPr>
        <w:pStyle w:val="ListBullet2"/>
      </w:pPr>
      <w:r w:rsidRPr="004F0AB7">
        <w:t>electromechanical relays</w:t>
      </w:r>
    </w:p>
    <w:p w:rsidR="00000000" w:rsidRPr="004F0AB7" w:rsidP="004F0AB7">
      <w:pPr>
        <w:pStyle w:val="ListBullet2"/>
      </w:pPr>
      <w:r w:rsidRPr="004F0AB7">
        <w:t>programmable relays</w:t>
      </w:r>
    </w:p>
    <w:p w:rsidR="00000000" w:rsidRPr="004F0AB7" w:rsidP="004F0AB7">
      <w:pPr>
        <w:pStyle w:val="ListBullet2"/>
      </w:pPr>
      <w:r w:rsidRPr="004F0AB7">
        <w:t>contactors</w:t>
      </w:r>
    </w:p>
    <w:p w:rsidR="00000000" w:rsidRPr="004F0AB7" w:rsidP="004F0AB7">
      <w:pPr>
        <w:pStyle w:val="ListBullet2"/>
      </w:pPr>
      <w:r w:rsidRPr="004F0AB7">
        <w:t>motor reversing contactors</w:t>
      </w:r>
    </w:p>
    <w:p w:rsidR="00000000" w:rsidRPr="004F0AB7" w:rsidP="004F0AB7">
      <w:pPr>
        <w:pStyle w:val="ListBullet2"/>
      </w:pPr>
      <w:r w:rsidRPr="004F0AB7">
        <w:t>three-phase starters</w:t>
      </w:r>
    </w:p>
    <w:p w:rsidR="00000000" w:rsidRPr="004F0AB7" w:rsidP="004F0AB7">
      <w:pPr>
        <w:pStyle w:val="ListBullet2"/>
      </w:pPr>
      <w:r w:rsidRPr="004F0AB7">
        <w:t>reduced voltage starters</w:t>
      </w:r>
    </w:p>
    <w:p w:rsidR="00000000" w:rsidRPr="004F0AB7" w:rsidP="004F0AB7">
      <w:pPr>
        <w:pStyle w:val="ListBullet2"/>
      </w:pPr>
      <w:r w:rsidRPr="004F0AB7">
        <w:t>transducers/sensors, including:</w:t>
      </w:r>
    </w:p>
    <w:p w:rsidR="00000000" w:rsidRPr="004F0AB7" w:rsidP="004F0AB7">
      <w:pPr>
        <w:pStyle w:val="ListBullet3"/>
      </w:pPr>
      <w:r w:rsidRPr="004F0AB7">
        <w:t>limit, proximity, float and pressure switches</w:t>
      </w:r>
    </w:p>
    <w:p w:rsidR="00000000" w:rsidRPr="004F0AB7" w:rsidP="004F0AB7">
      <w:pPr>
        <w:pStyle w:val="ListBullet3"/>
      </w:pPr>
      <w:r w:rsidRPr="004F0AB7">
        <w:t>photoelectric cells</w:t>
      </w:r>
    </w:p>
    <w:p w:rsidR="00000000" w:rsidRPr="004F0AB7" w:rsidP="004F0AB7">
      <w:pPr>
        <w:pStyle w:val="ListBullet3"/>
      </w:pPr>
      <w:r w:rsidRPr="004F0AB7">
        <w:t>light and temperature sensors:</w:t>
      </w:r>
    </w:p>
    <w:p w:rsidR="00000000" w:rsidRPr="004F0AB7" w:rsidP="004F0AB7">
      <w:pPr>
        <w:pStyle w:val="ListBullet"/>
      </w:pPr>
      <w:r w:rsidRPr="004F0AB7">
        <w:t>programmable timers, including specifications to be met and functions to be controlled including machine operation or process output</w:t>
      </w:r>
    </w:p>
    <w:p w:rsidR="00000000" w:rsidRPr="004F0AB7" w:rsidP="004F0AB7">
      <w:pPr>
        <w:pStyle w:val="ListBullet"/>
      </w:pPr>
      <w:r w:rsidRPr="004F0AB7">
        <w:t xml:space="preserve">line conditioners and the purpose they provide </w:t>
      </w:r>
    </w:p>
    <w:p w:rsidR="00000000" w:rsidRPr="004F0AB7" w:rsidP="004F0AB7">
      <w:pPr>
        <w:pStyle w:val="ListBullet"/>
      </w:pPr>
      <w:r w:rsidRPr="004F0AB7">
        <w:t xml:space="preserve">inverters and the purpose they provide </w:t>
      </w:r>
    </w:p>
    <w:p w:rsidR="00000000" w:rsidRPr="004F0AB7" w:rsidP="004F0AB7">
      <w:pPr>
        <w:pStyle w:val="ListBullet"/>
      </w:pPr>
      <w:r w:rsidRPr="004F0AB7">
        <w:t xml:space="preserve">energy management systems and the purpose they provide </w:t>
      </w:r>
    </w:p>
    <w:p w:rsidR="00000000" w:rsidRPr="004F0AB7" w:rsidP="004F0AB7">
      <w:pPr>
        <w:pStyle w:val="ListBullet"/>
      </w:pPr>
      <w:r w:rsidRPr="004F0AB7">
        <w:t>static electricity discharge or electrostatic discharge and the hazards associated and the precautions to be tak</w:t>
      </w:r>
      <w:r w:rsidRPr="004F0AB7">
        <w:t>en.</w:t>
      </w:r>
    </w:p>
    <w:p w:rsidR="00000000" w:rsidRPr="004F0AB7" w:rsidP="004F0AB7">
      <w:pPr>
        <w:pStyle w:val="AllowPageBreak"/>
      </w:pPr>
    </w:p>
    <w:p w:rsidR="00000000" w:rsidRPr="004F0AB7" w:rsidP="004F0AB7">
      <w:pPr>
        <w:pStyle w:val="Heading1"/>
      </w:pPr>
      <w:bookmarkStart w:id="4" w:name="O_968673"/>
      <w:bookmarkEnd w:id="4"/>
      <w:r w:rsidRPr="004F0AB7">
        <w:t>Assessment Conditions</w:t>
      </w:r>
    </w:p>
    <w:p w:rsidR="00000000" w:rsidRPr="004F0AB7" w:rsidP="004F0AB7">
      <w:pPr>
        <w:pStyle w:val="ListBullet"/>
      </w:pPr>
      <w:r w:rsidRPr="004F0AB7">
        <w:t>Assessors must:</w:t>
      </w:r>
    </w:p>
    <w:p w:rsidR="00000000" w:rsidRPr="004F0AB7" w:rsidP="004F0AB7">
      <w:pPr>
        <w:pStyle w:val="ListBullet2"/>
      </w:pPr>
      <w:r w:rsidRPr="004F0AB7">
        <w:t>have vocational competency in designing and connecting control switching of circuits for building services and industrial equipment at least to the level being assessed with relevant industry kno</w:t>
      </w:r>
      <w:r w:rsidRPr="004F0AB7">
        <w:t>wledge and experience</w:t>
      </w:r>
    </w:p>
    <w:p w:rsidR="00000000" w:rsidRPr="004F0AB7" w:rsidP="004F0AB7">
      <w:pPr>
        <w:pStyle w:val="ListBullet2"/>
      </w:pPr>
      <w:r w:rsidRPr="004F0AB7">
        <w:t xml:space="preserve">satisfy the assessor requirements in the </w:t>
      </w:r>
      <w:r w:rsidRPr="004F0AB7">
        <w:rPr>
          <w:rStyle w:val="Emphasis"/>
        </w:rPr>
        <w:t>Standards for Registered Training Organisations 2015</w:t>
      </w:r>
      <w:r w:rsidRPr="004F0AB7">
        <w:t xml:space="preserve"> and comply with the </w:t>
      </w:r>
      <w:r w:rsidRPr="004F0AB7">
        <w:rPr>
          <w:rStyle w:val="Emphasis"/>
        </w:rPr>
        <w:t xml:space="preserve">National Vocational Education and Training Regulator Act 2011 </w:t>
      </w:r>
      <w:r w:rsidRPr="004F0AB7">
        <w:t>or equivalent legislation covering VET regulation in a non</w:t>
      </w:r>
      <w:r w:rsidRPr="004F0AB7">
        <w:t>-referring State as the case requires.</w:t>
      </w:r>
    </w:p>
    <w:p w:rsidR="00000000" w:rsidRPr="004F0AB7" w:rsidP="004F0AB7">
      <w:pPr>
        <w:pStyle w:val="ListBullet"/>
      </w:pPr>
      <w:r w:rsidRPr="004F0AB7">
        <w:t>Where possible assessment must occur in operational workplace situations. Where this is not possible or where personal safety or environmental damage are limiting factors, assessment must occur in a sufficiently rigo</w:t>
      </w:r>
      <w:r w:rsidRPr="004F0AB7">
        <w:t>rous simulated environment that reflects realistic operational workplace conditions. This must cover all aspects of workplace performance, including environment, task skills, task management skills, contingency management skills and job role environment sk</w:t>
      </w:r>
      <w:r w:rsidRPr="004F0AB7">
        <w:t>ills.</w:t>
      </w:r>
    </w:p>
    <w:p w:rsidR="00000000" w:rsidRPr="004F0AB7" w:rsidP="004F0AB7">
      <w:pPr>
        <w:pStyle w:val="ListBullet"/>
      </w:pPr>
      <w:r w:rsidRPr="004F0AB7">
        <w:t>Conditions for assessment must include access to all tools, equipment, materials and documentation required, including relevant workplace procedures, product and manufacturing specifications.</w:t>
      </w:r>
    </w:p>
    <w:p w:rsidR="00000000" w:rsidRPr="004F0AB7" w:rsidP="004F0AB7">
      <w:pPr>
        <w:pStyle w:val="ListBullet"/>
      </w:pPr>
      <w:r w:rsidRPr="004F0AB7">
        <w:t>Assessment processes and techniques must be appropriate to</w:t>
      </w:r>
      <w:r w:rsidRPr="004F0AB7">
        <w:t xml:space="preserve"> the language, literacy and numeracy requirements of the work being performed and the needs of the candidate.</w:t>
      </w:r>
    </w:p>
    <w:p w:rsidR="00000000" w:rsidRPr="004F0AB7" w:rsidP="004F0AB7">
      <w:pPr>
        <w:pStyle w:val="AllowPageBreak"/>
      </w:pPr>
    </w:p>
    <w:p w:rsidR="00000000" w:rsidRPr="004F0AB7" w:rsidP="004F0AB7">
      <w:pPr>
        <w:pStyle w:val="Heading1"/>
      </w:pPr>
      <w:bookmarkStart w:id="5" w:name="O_968688"/>
      <w:bookmarkEnd w:id="5"/>
      <w:r w:rsidRPr="004F0AB7">
        <w:t>Links</w:t>
      </w:r>
    </w:p>
    <w:p w:rsidR="00000000" w:rsidRPr="004F0AB7" w:rsidP="009A1103">
      <w:pPr>
        <w:pStyle w:val="BodyText"/>
      </w:pPr>
      <w:r w:rsidRPr="004F0AB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D6838">
        <w:rPr>
          <w:rStyle w:val="Hyperlink"/>
        </w:rPr>
        <w:t>https://vetnet.gov.au/Pages/TrainingDocs.aspx?q=b7050d37-5fd0-4740-8f7d-3b7a49c10bb2</w:t>
      </w:r>
      <w:r>
        <w:fldChar w:fldCharType="end"/>
      </w:r>
    </w:p>
    <w:p w:rsidR="00000000" w:rsidRPr="004F0AB7" w:rsidP="004F0AB7"/>
    <w:sectPr w:rsidSect="004F0AB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A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AB7" w:rsidRPr="009A1103" w:rsidP="009A11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A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103" w:rsidP="004F0A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1103" w:rsidP="004F0AB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A1103" w:rsidP="004F0A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A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1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0AB7" w:rsidRPr="009A1103" w:rsidP="009A11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A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103" w:rsidRPr="002D2AF8" w:rsidP="004F0AB7">
    <w:pPr>
      <w:pStyle w:val="Header"/>
      <w:framePr w:wrap="around"/>
    </w:pPr>
    <w:r>
      <w:fldChar w:fldCharType="begin"/>
    </w:r>
    <w:r>
      <w:instrText xml:space="preserve"> TITLE   \* MERGEFORMAT </w:instrText>
    </w:r>
    <w:r>
      <w:fldChar w:fldCharType="separate"/>
    </w:r>
    <w:r>
      <w:t>Assessment Requirements for MEM10023 Design and connect control switching of circuits for building services and industrial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A1103" w:rsidP="004F0A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7608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7436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BCD8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A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0AB7"/>
    <w:pPr>
      <w:spacing w:before="360" w:after="60"/>
      <w:outlineLvl w:val="0"/>
    </w:pPr>
    <w:rPr>
      <w:sz w:val="32"/>
    </w:rPr>
  </w:style>
  <w:style w:type="paragraph" w:styleId="Heading2">
    <w:name w:val="heading 2"/>
    <w:basedOn w:val="HeadingBase"/>
    <w:next w:val="BodyText"/>
    <w:link w:val="Heading2Char"/>
    <w:qFormat/>
    <w:rsid w:val="004F0AB7"/>
    <w:pPr>
      <w:keepLines/>
      <w:spacing w:before="240" w:after="120"/>
      <w:outlineLvl w:val="1"/>
    </w:pPr>
    <w:rPr>
      <w:sz w:val="28"/>
      <w:szCs w:val="40"/>
    </w:rPr>
  </w:style>
  <w:style w:type="paragraph" w:styleId="Heading3">
    <w:name w:val="heading 3"/>
    <w:basedOn w:val="HeadingBase"/>
    <w:next w:val="BodyText"/>
    <w:link w:val="Heading3Char"/>
    <w:qFormat/>
    <w:rsid w:val="004F0AB7"/>
    <w:pPr>
      <w:spacing w:before="180" w:after="120"/>
      <w:outlineLvl w:val="2"/>
    </w:pPr>
    <w:rPr>
      <w:spacing w:val="-10"/>
      <w:kern w:val="32"/>
    </w:rPr>
  </w:style>
  <w:style w:type="paragraph" w:styleId="Heading4">
    <w:name w:val="heading 4"/>
    <w:basedOn w:val="HeadingBase"/>
    <w:next w:val="BodyText"/>
    <w:link w:val="Heading4Char"/>
    <w:qFormat/>
    <w:rsid w:val="004F0AB7"/>
    <w:pPr>
      <w:spacing w:before="160" w:after="120"/>
      <w:outlineLvl w:val="3"/>
    </w:pPr>
    <w:rPr>
      <w:sz w:val="22"/>
    </w:rPr>
  </w:style>
  <w:style w:type="paragraph" w:styleId="Heading5">
    <w:name w:val="heading 5"/>
    <w:basedOn w:val="HeadingBase"/>
    <w:next w:val="Normal"/>
    <w:link w:val="Heading5Char"/>
    <w:qFormat/>
    <w:rsid w:val="004F0AB7"/>
    <w:pPr>
      <w:spacing w:before="80"/>
      <w:outlineLvl w:val="4"/>
    </w:pPr>
    <w:rPr>
      <w:color w:val="918585"/>
      <w:sz w:val="20"/>
    </w:rPr>
  </w:style>
  <w:style w:type="paragraph" w:styleId="Heading6">
    <w:name w:val="heading 6"/>
    <w:basedOn w:val="HeadingBase"/>
    <w:next w:val="Normal"/>
    <w:link w:val="Heading6Char"/>
    <w:qFormat/>
    <w:rsid w:val="004F0AB7"/>
    <w:pPr>
      <w:spacing w:before="60"/>
      <w:outlineLvl w:val="5"/>
    </w:pPr>
    <w:rPr>
      <w:color w:val="918585"/>
      <w:sz w:val="20"/>
    </w:rPr>
  </w:style>
  <w:style w:type="paragraph" w:styleId="Heading7">
    <w:name w:val="heading 7"/>
    <w:basedOn w:val="Normal"/>
    <w:next w:val="Normal"/>
    <w:link w:val="Heading7Char"/>
    <w:qFormat/>
    <w:rsid w:val="004F0AB7"/>
    <w:pPr>
      <w:ind w:left="720"/>
      <w:outlineLvl w:val="6"/>
    </w:pPr>
    <w:rPr>
      <w:i/>
    </w:rPr>
  </w:style>
  <w:style w:type="paragraph" w:styleId="Heading8">
    <w:name w:val="heading 8"/>
    <w:basedOn w:val="Normal"/>
    <w:next w:val="Normal"/>
    <w:link w:val="Heading8Char"/>
    <w:qFormat/>
    <w:rsid w:val="004F0AB7"/>
    <w:pPr>
      <w:ind w:left="720"/>
      <w:outlineLvl w:val="7"/>
    </w:pPr>
    <w:rPr>
      <w:i/>
    </w:rPr>
  </w:style>
  <w:style w:type="paragraph" w:styleId="Heading9">
    <w:name w:val="heading 9"/>
    <w:basedOn w:val="Normal"/>
    <w:next w:val="Normal"/>
    <w:link w:val="Heading9Char"/>
    <w:qFormat/>
    <w:rsid w:val="004F0AB7"/>
    <w:pPr>
      <w:ind w:left="720"/>
      <w:outlineLvl w:val="8"/>
    </w:pPr>
    <w:rPr>
      <w:i/>
    </w:rPr>
  </w:style>
  <w:style w:type="character" w:default="1" w:styleId="DefaultParagraphFont">
    <w:name w:val="Default Paragraph Font"/>
    <w:uiPriority w:val="1"/>
    <w:unhideWhenUsed/>
    <w:rsid w:val="004F0A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0AB7"/>
  </w:style>
  <w:style w:type="character" w:customStyle="1" w:styleId="Heading1Char">
    <w:name w:val="Heading 1 Char"/>
    <w:basedOn w:val="DefaultParagraphFont"/>
    <w:link w:val="Heading1"/>
    <w:rsid w:val="004F0AB7"/>
    <w:rPr>
      <w:rFonts w:ascii="Times New Roman" w:eastAsia="Times New Roman" w:hAnsi="Times New Roman" w:cs="Times New Roman"/>
      <w:b/>
      <w:sz w:val="32"/>
      <w:szCs w:val="20"/>
      <w:lang w:eastAsia="en-US"/>
    </w:rPr>
  </w:style>
  <w:style w:type="paragraph" w:styleId="BodyText">
    <w:name w:val="Body Text"/>
    <w:basedOn w:val="Normal"/>
    <w:link w:val="BodyTextChar"/>
    <w:rsid w:val="004F0A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0AB7"/>
    <w:rPr>
      <w:rFonts w:ascii="Times New Roman" w:eastAsia="Times New Roman" w:hAnsi="Times New Roman" w:cs="Times New Roman"/>
      <w:sz w:val="24"/>
      <w:lang w:eastAsia="en-US"/>
    </w:rPr>
  </w:style>
  <w:style w:type="paragraph" w:styleId="ListBullet">
    <w:name w:val="List Bullet"/>
    <w:basedOn w:val="List"/>
    <w:rsid w:val="004F0AB7"/>
    <w:pPr>
      <w:numPr>
        <w:numId w:val="13"/>
      </w:numPr>
      <w:tabs>
        <w:tab w:val="clear" w:pos="340"/>
      </w:tabs>
      <w:spacing w:before="40" w:after="40"/>
    </w:pPr>
  </w:style>
  <w:style w:type="paragraph" w:styleId="ListBullet2">
    <w:name w:val="List Bullet 2"/>
    <w:basedOn w:val="List2"/>
    <w:rsid w:val="004F0AB7"/>
    <w:pPr>
      <w:numPr>
        <w:numId w:val="14"/>
      </w:numPr>
      <w:tabs>
        <w:tab w:val="clear" w:pos="680"/>
      </w:tabs>
    </w:pPr>
  </w:style>
  <w:style w:type="character" w:styleId="Emphasis">
    <w:name w:val="Emphasis"/>
    <w:basedOn w:val="DefaultParagraphFont"/>
    <w:qFormat/>
    <w:rsid w:val="004F0AB7"/>
    <w:rPr>
      <w:i/>
    </w:rPr>
  </w:style>
  <w:style w:type="paragraph" w:customStyle="1" w:styleId="SuperHeading">
    <w:name w:val="SuperHeading"/>
    <w:basedOn w:val="Normal"/>
    <w:rsid w:val="004F0AB7"/>
    <w:pPr>
      <w:spacing w:before="240" w:after="120"/>
      <w:outlineLvl w:val="0"/>
    </w:pPr>
    <w:rPr>
      <w:rFonts w:ascii="Times New Roman" w:hAnsi="Times New Roman"/>
      <w:b/>
      <w:sz w:val="32"/>
    </w:rPr>
  </w:style>
  <w:style w:type="paragraph" w:customStyle="1" w:styleId="AllowPageBreak">
    <w:name w:val="AllowPageBreak"/>
    <w:rsid w:val="004F0AB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F0AB7"/>
    <w:pPr>
      <w:numPr>
        <w:numId w:val="3"/>
      </w:numPr>
      <w:tabs>
        <w:tab w:val="clear" w:pos="1021"/>
      </w:tabs>
      <w:ind w:left="1037" w:hanging="357"/>
    </w:pPr>
  </w:style>
  <w:style w:type="character" w:customStyle="1" w:styleId="Heading2Char">
    <w:name w:val="Heading 2 Char"/>
    <w:basedOn w:val="DefaultParagraphFont"/>
    <w:link w:val="Heading2"/>
    <w:rsid w:val="004F0A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0A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0A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0A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0A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0A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0A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0AB7"/>
    <w:rPr>
      <w:rFonts w:ascii="Courier New" w:eastAsia="Times New Roman" w:hAnsi="Courier New" w:cs="Times New Roman"/>
      <w:i/>
      <w:szCs w:val="20"/>
      <w:lang w:eastAsia="en-US"/>
    </w:rPr>
  </w:style>
  <w:style w:type="paragraph" w:customStyle="1" w:styleId="HeadingBase">
    <w:name w:val="Heading Base"/>
    <w:rsid w:val="004F0A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0AB7"/>
    <w:pPr>
      <w:tabs>
        <w:tab w:val="right" w:leader="dot" w:pos="9072"/>
      </w:tabs>
      <w:ind w:left="567"/>
    </w:pPr>
    <w:rPr>
      <w:szCs w:val="22"/>
    </w:rPr>
  </w:style>
  <w:style w:type="paragraph" w:customStyle="1" w:styleId="TOCBase">
    <w:name w:val="TOC Base"/>
    <w:rsid w:val="004F0A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0AB7"/>
    <w:pPr>
      <w:tabs>
        <w:tab w:val="right" w:leader="dot" w:pos="9072"/>
      </w:tabs>
      <w:spacing w:before="40" w:after="40"/>
      <w:ind w:left="284"/>
    </w:pPr>
    <w:rPr>
      <w:rFonts w:ascii="Times New Roman" w:hAnsi="Times New Roman"/>
    </w:rPr>
  </w:style>
  <w:style w:type="paragraph" w:styleId="TOC1">
    <w:name w:val="toc 1"/>
    <w:basedOn w:val="TOCBase"/>
    <w:next w:val="Normal"/>
    <w:rsid w:val="004F0A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0A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0AB7"/>
    <w:rPr>
      <w:rFonts w:ascii="Times New Roman" w:eastAsia="Times New Roman" w:hAnsi="Times New Roman" w:cs="Times New Roman"/>
      <w:sz w:val="16"/>
      <w:lang w:eastAsia="en-US"/>
    </w:rPr>
  </w:style>
  <w:style w:type="paragraph" w:styleId="Title">
    <w:name w:val="Title"/>
    <w:basedOn w:val="HeadingBase"/>
    <w:link w:val="TitleChar"/>
    <w:qFormat/>
    <w:rsid w:val="004F0AB7"/>
    <w:pPr>
      <w:spacing w:before="5040"/>
      <w:jc w:val="center"/>
    </w:pPr>
    <w:rPr>
      <w:sz w:val="48"/>
      <w:szCs w:val="72"/>
      <w:lang w:val="en-US"/>
    </w:rPr>
  </w:style>
  <w:style w:type="character" w:customStyle="1" w:styleId="TitleChar">
    <w:name w:val="Title Char"/>
    <w:basedOn w:val="DefaultParagraphFont"/>
    <w:link w:val="Title"/>
    <w:rsid w:val="004F0A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0AB7"/>
    <w:pPr>
      <w:tabs>
        <w:tab w:val="left" w:pos="3600"/>
        <w:tab w:val="left" w:pos="3958"/>
      </w:tabs>
    </w:pPr>
  </w:style>
  <w:style w:type="paragraph" w:styleId="List">
    <w:name w:val="List"/>
    <w:basedOn w:val="BodyText"/>
    <w:next w:val="BodyText"/>
    <w:rsid w:val="004F0AB7"/>
    <w:pPr>
      <w:tabs>
        <w:tab w:val="left" w:pos="340"/>
      </w:tabs>
      <w:spacing w:before="60" w:after="60"/>
      <w:ind w:left="340" w:hanging="340"/>
    </w:pPr>
  </w:style>
  <w:style w:type="paragraph" w:customStyle="1" w:styleId="Note">
    <w:name w:val="Note"/>
    <w:basedOn w:val="BodyText"/>
    <w:rsid w:val="004F0AB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F0AB7"/>
    <w:rPr>
      <w:b/>
      <w:spacing w:val="0"/>
    </w:rPr>
  </w:style>
  <w:style w:type="paragraph" w:customStyle="1" w:styleId="SuperTitle">
    <w:name w:val="SuperTitle"/>
    <w:basedOn w:val="Title"/>
    <w:rsid w:val="004F0AB7"/>
    <w:pPr>
      <w:framePr w:wrap="auto" w:hAnchor="text" w:y="6049"/>
    </w:pPr>
    <w:rPr>
      <w:color w:val="000000"/>
      <w:sz w:val="40"/>
    </w:rPr>
  </w:style>
  <w:style w:type="paragraph" w:customStyle="1" w:styleId="TOCTitle">
    <w:name w:val="TOCTitle"/>
    <w:basedOn w:val="Heading1"/>
    <w:rsid w:val="004F0AB7"/>
    <w:pPr>
      <w:spacing w:after="240"/>
      <w:jc w:val="center"/>
      <w:outlineLvl w:val="9"/>
    </w:pPr>
    <w:rPr>
      <w:caps/>
    </w:rPr>
  </w:style>
  <w:style w:type="paragraph" w:customStyle="1" w:styleId="Version">
    <w:name w:val="Version"/>
    <w:rsid w:val="004F0A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0AB7"/>
    <w:pPr>
      <w:keepNext w:val="0"/>
      <w:tabs>
        <w:tab w:val="right" w:pos="4176"/>
      </w:tabs>
      <w:ind w:left="198" w:hanging="198"/>
    </w:pPr>
    <w:rPr>
      <w:rFonts w:ascii="Garamond" w:hAnsi="Garamond"/>
    </w:rPr>
  </w:style>
  <w:style w:type="paragraph" w:styleId="IndexHeading">
    <w:name w:val="index heading"/>
    <w:basedOn w:val="Normal"/>
    <w:next w:val="Index1"/>
    <w:semiHidden/>
    <w:rsid w:val="004F0AB7"/>
    <w:pPr>
      <w:spacing w:before="120" w:after="120"/>
    </w:pPr>
    <w:rPr>
      <w:rFonts w:ascii="Arial" w:hAnsi="Arial"/>
      <w:b/>
      <w:color w:val="918585"/>
      <w:sz w:val="24"/>
    </w:rPr>
  </w:style>
  <w:style w:type="paragraph" w:styleId="Header">
    <w:name w:val="header"/>
    <w:basedOn w:val="Normal"/>
    <w:link w:val="HeaderChar"/>
    <w:rsid w:val="004F0A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0AB7"/>
    <w:rPr>
      <w:rFonts w:ascii="Times New Roman" w:eastAsia="Times New Roman" w:hAnsi="Times New Roman" w:cs="Times New Roman"/>
      <w:sz w:val="16"/>
      <w:szCs w:val="20"/>
      <w:lang w:val="en-GB" w:eastAsia="en-US"/>
    </w:rPr>
  </w:style>
  <w:style w:type="paragraph" w:customStyle="1" w:styleId="Chapter">
    <w:name w:val="Chapter"/>
    <w:basedOn w:val="Normal"/>
    <w:rsid w:val="004F0AB7"/>
    <w:pPr>
      <w:spacing w:before="240"/>
    </w:pPr>
    <w:rPr>
      <w:rFonts w:ascii="Times New Roman" w:hAnsi="Times New Roman"/>
      <w:smallCaps/>
      <w:spacing w:val="80"/>
      <w:sz w:val="28"/>
    </w:rPr>
  </w:style>
  <w:style w:type="paragraph" w:customStyle="1" w:styleId="InChapter">
    <w:name w:val="InChapter"/>
    <w:basedOn w:val="Heading3"/>
    <w:rsid w:val="004F0AB7"/>
    <w:pPr>
      <w:spacing w:after="240"/>
      <w:outlineLvl w:val="9"/>
    </w:pPr>
    <w:rPr>
      <w:noProof/>
    </w:rPr>
  </w:style>
  <w:style w:type="paragraph" w:styleId="Index2">
    <w:name w:val="index 2"/>
    <w:basedOn w:val="Normal"/>
    <w:next w:val="Normal"/>
    <w:semiHidden/>
    <w:rsid w:val="004F0AB7"/>
    <w:pPr>
      <w:tabs>
        <w:tab w:val="right" w:pos="4176"/>
      </w:tabs>
      <w:ind w:left="568" w:hanging="284"/>
    </w:pPr>
    <w:rPr>
      <w:rFonts w:ascii="Garamond" w:hAnsi="Garamond"/>
    </w:rPr>
  </w:style>
  <w:style w:type="paragraph" w:customStyle="1" w:styleId="Byline">
    <w:name w:val="Byline"/>
    <w:rsid w:val="004F0A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0AB7"/>
    <w:pPr>
      <w:tabs>
        <w:tab w:val="clear" w:pos="3600"/>
        <w:tab w:val="clear" w:pos="3958"/>
      </w:tabs>
      <w:jc w:val="right"/>
    </w:pPr>
  </w:style>
  <w:style w:type="paragraph" w:styleId="Caption">
    <w:name w:val="caption"/>
    <w:basedOn w:val="BodyText"/>
    <w:next w:val="Normal"/>
    <w:qFormat/>
    <w:rsid w:val="004F0AB7"/>
    <w:pPr>
      <w:framePr w:w="2268" w:hSpace="181" w:vSpace="181" w:wrap="around" w:vAnchor="text" w:hAnchor="page" w:x="1135" w:y="285" w:anchorLock="1"/>
    </w:pPr>
    <w:rPr>
      <w:i/>
    </w:rPr>
  </w:style>
  <w:style w:type="paragraph" w:customStyle="1" w:styleId="MiniTOCTitle">
    <w:name w:val="MiniTOCTitle"/>
    <w:basedOn w:val="Heading4"/>
    <w:rsid w:val="004F0AB7"/>
    <w:pPr>
      <w:spacing w:before="240"/>
      <w:outlineLvl w:val="9"/>
    </w:pPr>
    <w:rPr>
      <w:noProof/>
      <w:sz w:val="24"/>
    </w:rPr>
  </w:style>
  <w:style w:type="paragraph" w:customStyle="1" w:styleId="MiniTOCItem">
    <w:name w:val="MiniTOCItem"/>
    <w:basedOn w:val="ListBullet"/>
    <w:rsid w:val="004F0AB7"/>
    <w:pPr>
      <w:numPr>
        <w:numId w:val="0"/>
      </w:numPr>
      <w:tabs>
        <w:tab w:val="right" w:leader="dot" w:pos="6521"/>
      </w:tabs>
      <w:spacing w:before="0" w:after="0"/>
    </w:pPr>
  </w:style>
  <w:style w:type="paragraph" w:customStyle="1" w:styleId="TOFTitle">
    <w:name w:val="TOFTitle"/>
    <w:basedOn w:val="TOCTitle"/>
    <w:rsid w:val="004F0AB7"/>
  </w:style>
  <w:style w:type="paragraph" w:styleId="TableofFigures">
    <w:name w:val="table of figures"/>
    <w:basedOn w:val="Normal"/>
    <w:next w:val="Normal"/>
    <w:semiHidden/>
    <w:rsid w:val="004F0AB7"/>
    <w:pPr>
      <w:tabs>
        <w:tab w:val="right" w:leader="dot" w:pos="9072"/>
      </w:tabs>
      <w:ind w:left="970" w:hanging="403"/>
    </w:pPr>
    <w:rPr>
      <w:rFonts w:ascii="Times New Roman" w:hAnsi="Times New Roman"/>
      <w:b/>
    </w:rPr>
  </w:style>
  <w:style w:type="paragraph" w:styleId="ListNumber">
    <w:name w:val="List Number"/>
    <w:basedOn w:val="List"/>
    <w:rsid w:val="004F0AB7"/>
    <w:pPr>
      <w:numPr>
        <w:numId w:val="16"/>
      </w:numPr>
      <w:tabs>
        <w:tab w:val="clear" w:pos="340"/>
      </w:tabs>
    </w:pPr>
  </w:style>
  <w:style w:type="character" w:customStyle="1" w:styleId="WingdingSymbols">
    <w:name w:val="Wingding Symbols"/>
    <w:rsid w:val="004F0AB7"/>
    <w:rPr>
      <w:rFonts w:ascii="Wingdings" w:hAnsi="Wingdings"/>
    </w:rPr>
  </w:style>
  <w:style w:type="paragraph" w:customStyle="1" w:styleId="TableHeading">
    <w:name w:val="Table Heading"/>
    <w:basedOn w:val="HeadingBase"/>
    <w:rsid w:val="004F0AB7"/>
    <w:pPr>
      <w:keepLines/>
      <w:pBdr>
        <w:bottom w:val="single" w:sz="6" w:space="1" w:color="918585"/>
      </w:pBdr>
      <w:spacing w:before="240"/>
    </w:pPr>
  </w:style>
  <w:style w:type="character" w:customStyle="1" w:styleId="HotSpot">
    <w:name w:val="HotSpot"/>
    <w:rsid w:val="004F0AB7"/>
    <w:rPr>
      <w:color w:val="0033CC"/>
      <w:u w:val="none"/>
    </w:rPr>
  </w:style>
  <w:style w:type="paragraph" w:customStyle="1" w:styleId="BodyTextRight">
    <w:name w:val="Body Text Right"/>
    <w:basedOn w:val="BodyText"/>
    <w:rsid w:val="004F0AB7"/>
    <w:pPr>
      <w:spacing w:before="0" w:after="0"/>
      <w:jc w:val="right"/>
    </w:pPr>
  </w:style>
  <w:style w:type="paragraph" w:styleId="Index3">
    <w:name w:val="index 3"/>
    <w:basedOn w:val="ListNumber2"/>
    <w:next w:val="Normal"/>
    <w:semiHidden/>
    <w:rsid w:val="004F0AB7"/>
    <w:pPr>
      <w:numPr>
        <w:numId w:val="0"/>
      </w:numPr>
      <w:tabs>
        <w:tab w:val="right" w:leader="dot" w:pos="4176"/>
      </w:tabs>
    </w:pPr>
  </w:style>
  <w:style w:type="paragraph" w:styleId="ListNumber2">
    <w:name w:val="List Number 2"/>
    <w:basedOn w:val="List2"/>
    <w:rsid w:val="004F0AB7"/>
    <w:pPr>
      <w:numPr>
        <w:numId w:val="11"/>
      </w:numPr>
      <w:tabs>
        <w:tab w:val="clear" w:pos="1060"/>
      </w:tabs>
    </w:pPr>
  </w:style>
  <w:style w:type="paragraph" w:customStyle="1" w:styleId="MarginNote">
    <w:name w:val="Margin Note"/>
    <w:basedOn w:val="BodyText"/>
    <w:rsid w:val="004F0A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0A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0A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0AB7"/>
    <w:rPr>
      <w:sz w:val="32"/>
    </w:rPr>
  </w:style>
  <w:style w:type="paragraph" w:customStyle="1" w:styleId="HeadingProcedure">
    <w:name w:val="Heading Procedure"/>
    <w:basedOn w:val="HeadingBase"/>
    <w:next w:val="Normal"/>
    <w:rsid w:val="004F0AB7"/>
    <w:pPr>
      <w:tabs>
        <w:tab w:val="left" w:pos="0"/>
      </w:tabs>
      <w:spacing w:before="120" w:after="60"/>
    </w:pPr>
    <w:rPr>
      <w:i/>
      <w:color w:val="918585"/>
      <w:sz w:val="22"/>
    </w:rPr>
  </w:style>
  <w:style w:type="paragraph" w:customStyle="1" w:styleId="TableBodyText">
    <w:name w:val="Table Body Text"/>
    <w:basedOn w:val="BodyText"/>
    <w:rsid w:val="004F0AB7"/>
    <w:pPr>
      <w:spacing w:before="60" w:after="60"/>
    </w:pPr>
  </w:style>
  <w:style w:type="paragraph" w:styleId="ListContinue">
    <w:name w:val="List Continue"/>
    <w:basedOn w:val="List"/>
    <w:rsid w:val="004F0AB7"/>
    <w:pPr>
      <w:ind w:firstLine="0"/>
    </w:pPr>
  </w:style>
  <w:style w:type="paragraph" w:customStyle="1" w:styleId="ListNote">
    <w:name w:val="List Note"/>
    <w:basedOn w:val="List"/>
    <w:rsid w:val="004F0AB7"/>
    <w:pPr>
      <w:pBdr>
        <w:top w:val="single" w:sz="6" w:space="2" w:color="918585"/>
        <w:bottom w:val="single" w:sz="6" w:space="2" w:color="918585"/>
      </w:pBdr>
      <w:tabs>
        <w:tab w:val="left" w:pos="1021"/>
      </w:tabs>
      <w:ind w:firstLine="0"/>
    </w:pPr>
  </w:style>
  <w:style w:type="paragraph" w:customStyle="1" w:styleId="Warning">
    <w:name w:val="Warning"/>
    <w:basedOn w:val="BodyText"/>
    <w:rsid w:val="004F0AB7"/>
    <w:pPr>
      <w:shd w:val="clear" w:color="auto" w:fill="D9D9D9"/>
      <w:tabs>
        <w:tab w:val="left" w:pos="992"/>
      </w:tabs>
      <w:ind w:left="119" w:right="119"/>
    </w:pPr>
    <w:rPr>
      <w:sz w:val="20"/>
    </w:rPr>
  </w:style>
  <w:style w:type="paragraph" w:customStyle="1" w:styleId="MarginIcons">
    <w:name w:val="Margin Icons"/>
    <w:basedOn w:val="BodyText"/>
    <w:rsid w:val="004F0A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0AB7"/>
    <w:rPr>
      <w:rFonts w:ascii="Courier New" w:hAnsi="Courier New"/>
    </w:rPr>
  </w:style>
  <w:style w:type="paragraph" w:customStyle="1" w:styleId="NoteBullet">
    <w:name w:val="Note Bullet"/>
    <w:basedOn w:val="Note"/>
    <w:rsid w:val="004F0AB7"/>
    <w:pPr>
      <w:tabs>
        <w:tab w:val="clear" w:pos="680"/>
      </w:tabs>
      <w:spacing w:before="60" w:after="60"/>
    </w:pPr>
  </w:style>
  <w:style w:type="paragraph" w:customStyle="1" w:styleId="SubHeading2">
    <w:name w:val="SubHeading2"/>
    <w:basedOn w:val="HeadingBase"/>
    <w:rsid w:val="004F0AB7"/>
    <w:pPr>
      <w:spacing w:before="240" w:after="60"/>
    </w:pPr>
    <w:rPr>
      <w:sz w:val="20"/>
    </w:rPr>
  </w:style>
  <w:style w:type="paragraph" w:customStyle="1" w:styleId="SubHeading1">
    <w:name w:val="SubHeading1"/>
    <w:basedOn w:val="HeadingBase"/>
    <w:rsid w:val="004F0AB7"/>
    <w:pPr>
      <w:spacing w:before="240" w:after="60"/>
    </w:pPr>
    <w:rPr>
      <w:color w:val="918585"/>
      <w:sz w:val="22"/>
    </w:rPr>
  </w:style>
  <w:style w:type="paragraph" w:customStyle="1" w:styleId="SideHeading">
    <w:name w:val="Side Heading"/>
    <w:basedOn w:val="HeadingBase"/>
    <w:rsid w:val="004F0A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0AB7"/>
    <w:pPr>
      <w:numPr>
        <w:numId w:val="12"/>
      </w:numPr>
    </w:pPr>
  </w:style>
  <w:style w:type="paragraph" w:styleId="PlainText">
    <w:name w:val="Plain Text"/>
    <w:basedOn w:val="Normal"/>
    <w:link w:val="PlainTextChar"/>
    <w:rsid w:val="004F0AB7"/>
    <w:rPr>
      <w:sz w:val="20"/>
    </w:rPr>
  </w:style>
  <w:style w:type="character" w:customStyle="1" w:styleId="PlainTextChar">
    <w:name w:val="Plain Text Char"/>
    <w:basedOn w:val="DefaultParagraphFont"/>
    <w:link w:val="PlainText"/>
    <w:rsid w:val="004F0AB7"/>
    <w:rPr>
      <w:rFonts w:ascii="Courier New" w:eastAsia="Times New Roman" w:hAnsi="Courier New" w:cs="Times New Roman"/>
      <w:sz w:val="20"/>
      <w:szCs w:val="20"/>
      <w:lang w:eastAsia="en-US"/>
    </w:rPr>
  </w:style>
  <w:style w:type="character" w:customStyle="1" w:styleId="MenuOption">
    <w:name w:val="Menu Option"/>
    <w:basedOn w:val="DefaultParagraphFont"/>
    <w:rsid w:val="004F0AB7"/>
    <w:rPr>
      <w:b/>
      <w:smallCaps/>
    </w:rPr>
  </w:style>
  <w:style w:type="paragraph" w:customStyle="1" w:styleId="TableListNumber">
    <w:name w:val="Table List Number"/>
    <w:basedOn w:val="ListNumber"/>
    <w:rsid w:val="004F0AB7"/>
    <w:pPr>
      <w:numPr>
        <w:numId w:val="0"/>
      </w:numPr>
    </w:pPr>
  </w:style>
  <w:style w:type="paragraph" w:styleId="TOC4">
    <w:name w:val="toc 4"/>
    <w:basedOn w:val="TOCBase"/>
    <w:next w:val="Normal"/>
    <w:semiHidden/>
    <w:rsid w:val="004F0AB7"/>
    <w:pPr>
      <w:tabs>
        <w:tab w:val="right" w:leader="dot" w:pos="9071"/>
      </w:tabs>
      <w:ind w:left="1701"/>
    </w:pPr>
  </w:style>
  <w:style w:type="paragraph" w:customStyle="1" w:styleId="ListAlpha">
    <w:name w:val="List Alpha"/>
    <w:basedOn w:val="List"/>
    <w:rsid w:val="004F0AB7"/>
    <w:pPr>
      <w:numPr>
        <w:numId w:val="10"/>
      </w:numPr>
    </w:pPr>
  </w:style>
  <w:style w:type="paragraph" w:customStyle="1" w:styleId="ListAlpha2">
    <w:name w:val="List Alpha 2"/>
    <w:basedOn w:val="List2"/>
    <w:rsid w:val="004F0AB7"/>
    <w:pPr>
      <w:numPr>
        <w:numId w:val="9"/>
      </w:numPr>
    </w:pPr>
  </w:style>
  <w:style w:type="paragraph" w:styleId="List2">
    <w:name w:val="List 2"/>
    <w:basedOn w:val="BodyText"/>
    <w:rsid w:val="004F0AB7"/>
    <w:pPr>
      <w:tabs>
        <w:tab w:val="left" w:pos="680"/>
      </w:tabs>
      <w:spacing w:before="60" w:after="60"/>
      <w:ind w:left="680" w:hanging="340"/>
    </w:pPr>
  </w:style>
  <w:style w:type="paragraph" w:styleId="List3">
    <w:name w:val="List 3"/>
    <w:basedOn w:val="BodyText"/>
    <w:rsid w:val="004F0AB7"/>
    <w:pPr>
      <w:tabs>
        <w:tab w:val="left" w:pos="1021"/>
      </w:tabs>
      <w:spacing w:before="60" w:after="60"/>
      <w:ind w:left="1020" w:hanging="340"/>
    </w:pPr>
  </w:style>
  <w:style w:type="paragraph" w:styleId="List4">
    <w:name w:val="List 4"/>
    <w:basedOn w:val="BodyText"/>
    <w:rsid w:val="004F0AB7"/>
    <w:pPr>
      <w:tabs>
        <w:tab w:val="left" w:pos="1361"/>
      </w:tabs>
      <w:spacing w:before="60" w:after="60"/>
      <w:ind w:left="1361" w:hanging="340"/>
    </w:pPr>
  </w:style>
  <w:style w:type="paragraph" w:styleId="List5">
    <w:name w:val="List 5"/>
    <w:basedOn w:val="BodyText"/>
    <w:rsid w:val="004F0AB7"/>
    <w:pPr>
      <w:tabs>
        <w:tab w:val="left" w:pos="1701"/>
      </w:tabs>
      <w:spacing w:before="60" w:after="60"/>
      <w:ind w:left="1701" w:hanging="340"/>
    </w:pPr>
  </w:style>
  <w:style w:type="paragraph" w:styleId="ListBullet4">
    <w:name w:val="List Bullet 4"/>
    <w:basedOn w:val="List4"/>
    <w:rsid w:val="004F0AB7"/>
    <w:pPr>
      <w:numPr>
        <w:numId w:val="4"/>
      </w:numPr>
      <w:tabs>
        <w:tab w:val="clear" w:pos="1361"/>
      </w:tabs>
    </w:pPr>
  </w:style>
  <w:style w:type="paragraph" w:styleId="ListBullet5">
    <w:name w:val="List Bullet 5"/>
    <w:basedOn w:val="List5"/>
    <w:rsid w:val="004F0AB7"/>
    <w:pPr>
      <w:numPr>
        <w:numId w:val="5"/>
      </w:numPr>
    </w:pPr>
  </w:style>
  <w:style w:type="paragraph" w:styleId="ListContinue2">
    <w:name w:val="List Continue 2"/>
    <w:basedOn w:val="List2"/>
    <w:rsid w:val="004F0AB7"/>
    <w:pPr>
      <w:ind w:firstLine="0"/>
    </w:pPr>
  </w:style>
  <w:style w:type="paragraph" w:styleId="ListContinue3">
    <w:name w:val="List Continue 3"/>
    <w:basedOn w:val="List3"/>
    <w:rsid w:val="004F0AB7"/>
    <w:pPr>
      <w:ind w:left="1021" w:firstLine="0"/>
    </w:pPr>
  </w:style>
  <w:style w:type="paragraph" w:styleId="ListContinue4">
    <w:name w:val="List Continue 4"/>
    <w:basedOn w:val="List4"/>
    <w:rsid w:val="004F0AB7"/>
    <w:pPr>
      <w:ind w:firstLine="0"/>
    </w:pPr>
  </w:style>
  <w:style w:type="paragraph" w:styleId="ListContinue5">
    <w:name w:val="List Continue 5"/>
    <w:basedOn w:val="List5"/>
    <w:rsid w:val="004F0AB7"/>
    <w:pPr>
      <w:ind w:firstLine="0"/>
    </w:pPr>
  </w:style>
  <w:style w:type="paragraph" w:styleId="ListNumber3">
    <w:name w:val="List Number 3"/>
    <w:basedOn w:val="List3"/>
    <w:rsid w:val="004F0AB7"/>
    <w:pPr>
      <w:numPr>
        <w:numId w:val="6"/>
      </w:numPr>
    </w:pPr>
  </w:style>
  <w:style w:type="paragraph" w:styleId="ListNumber4">
    <w:name w:val="List Number 4"/>
    <w:basedOn w:val="List4"/>
    <w:rsid w:val="004F0AB7"/>
    <w:pPr>
      <w:numPr>
        <w:numId w:val="7"/>
      </w:numPr>
    </w:pPr>
  </w:style>
  <w:style w:type="paragraph" w:styleId="ListNumber5">
    <w:name w:val="List Number 5"/>
    <w:basedOn w:val="List5"/>
    <w:rsid w:val="004F0AB7"/>
    <w:pPr>
      <w:numPr>
        <w:numId w:val="8"/>
      </w:numPr>
    </w:pPr>
  </w:style>
  <w:style w:type="paragraph" w:styleId="BlockText">
    <w:name w:val="Block Text"/>
    <w:basedOn w:val="Normal"/>
    <w:rsid w:val="004F0AB7"/>
    <w:pPr>
      <w:spacing w:after="120"/>
      <w:ind w:left="1440" w:right="1440"/>
    </w:pPr>
  </w:style>
  <w:style w:type="character" w:customStyle="1" w:styleId="Subscript">
    <w:name w:val="Subscript"/>
    <w:basedOn w:val="DefaultParagraphFont"/>
    <w:rsid w:val="004F0AB7"/>
    <w:rPr>
      <w:sz w:val="16"/>
      <w:vertAlign w:val="subscript"/>
    </w:rPr>
  </w:style>
  <w:style w:type="character" w:customStyle="1" w:styleId="Superscript">
    <w:name w:val="Superscript"/>
    <w:basedOn w:val="DefaultParagraphFont"/>
    <w:rsid w:val="004F0AB7"/>
    <w:rPr>
      <w:sz w:val="16"/>
      <w:vertAlign w:val="superscript"/>
    </w:rPr>
  </w:style>
  <w:style w:type="character" w:customStyle="1" w:styleId="Symbols">
    <w:name w:val="Symbols"/>
    <w:basedOn w:val="DefaultParagraphFont"/>
    <w:rsid w:val="004F0AB7"/>
    <w:rPr>
      <w:rFonts w:ascii="Symbol" w:hAnsi="Symbol"/>
    </w:rPr>
  </w:style>
  <w:style w:type="character" w:customStyle="1" w:styleId="MenuOptions">
    <w:name w:val="Menu Options"/>
    <w:basedOn w:val="DefaultParagraphFont"/>
    <w:rsid w:val="004F0AB7"/>
    <w:rPr>
      <w:rFonts w:ascii="Arial Narrow" w:hAnsi="Arial Narrow"/>
      <w:smallCaps/>
    </w:rPr>
  </w:style>
  <w:style w:type="character" w:customStyle="1" w:styleId="Buttons">
    <w:name w:val="Buttons"/>
    <w:basedOn w:val="DefaultParagraphFont"/>
    <w:rsid w:val="004F0AB7"/>
    <w:rPr>
      <w:b/>
    </w:rPr>
  </w:style>
  <w:style w:type="character" w:customStyle="1" w:styleId="Underlined">
    <w:name w:val="Underlined"/>
    <w:basedOn w:val="DefaultParagraphFont"/>
    <w:rsid w:val="004F0AB7"/>
    <w:rPr>
      <w:u w:val="single"/>
    </w:rPr>
  </w:style>
  <w:style w:type="paragraph" w:customStyle="1" w:styleId="TableBodyTextRight">
    <w:name w:val="Table Body Text Right"/>
    <w:basedOn w:val="TableBodyText"/>
    <w:rsid w:val="004F0AB7"/>
    <w:pPr>
      <w:widowControl w:val="0"/>
      <w:autoSpaceDE w:val="0"/>
      <w:autoSpaceDN w:val="0"/>
      <w:adjustRightInd w:val="0"/>
      <w:jc w:val="right"/>
    </w:pPr>
    <w:rPr>
      <w:rFonts w:cs="Arial"/>
      <w:szCs w:val="18"/>
    </w:rPr>
  </w:style>
  <w:style w:type="paragraph" w:customStyle="1" w:styleId="CopyrightText">
    <w:name w:val="Copyright Text"/>
    <w:basedOn w:val="BodyText"/>
    <w:rsid w:val="004F0AB7"/>
    <w:rPr>
      <w:sz w:val="18"/>
    </w:rPr>
  </w:style>
  <w:style w:type="paragraph" w:customStyle="1" w:styleId="BodySmallRight">
    <w:name w:val="Body Small Right"/>
    <w:basedOn w:val="BodyTextRight"/>
    <w:rsid w:val="004F0AB7"/>
    <w:rPr>
      <w:sz w:val="18"/>
      <w:szCs w:val="18"/>
    </w:rPr>
  </w:style>
  <w:style w:type="paragraph" w:customStyle="1" w:styleId="MarginEdition">
    <w:name w:val="Margin Edition"/>
    <w:basedOn w:val="MarginNote"/>
    <w:rsid w:val="004F0AB7"/>
    <w:pPr>
      <w:spacing w:before="0" w:after="0"/>
    </w:pPr>
    <w:rPr>
      <w:rFonts w:ascii="Times New Roman" w:hAnsi="Times New Roman"/>
      <w:color w:val="999999"/>
    </w:rPr>
  </w:style>
  <w:style w:type="paragraph" w:customStyle="1" w:styleId="Spacer">
    <w:name w:val="Spacer"/>
    <w:basedOn w:val="Normal"/>
    <w:rsid w:val="004F0AB7"/>
    <w:rPr>
      <w:sz w:val="2"/>
      <w:szCs w:val="2"/>
    </w:rPr>
  </w:style>
  <w:style w:type="character" w:customStyle="1" w:styleId="Small">
    <w:name w:val="Small"/>
    <w:basedOn w:val="DefaultParagraphFont"/>
    <w:rsid w:val="004F0AB7"/>
    <w:rPr>
      <w:sz w:val="16"/>
    </w:rPr>
  </w:style>
  <w:style w:type="paragraph" w:customStyle="1" w:styleId="WideTable">
    <w:name w:val="Wide Table"/>
    <w:basedOn w:val="Normal"/>
    <w:rsid w:val="004F0AB7"/>
    <w:pPr>
      <w:ind w:left="-1418"/>
    </w:pPr>
    <w:rPr>
      <w:sz w:val="2"/>
      <w:szCs w:val="2"/>
    </w:rPr>
  </w:style>
  <w:style w:type="character" w:styleId="PageNumber">
    <w:name w:val="page number"/>
    <w:basedOn w:val="DefaultParagraphFont"/>
    <w:rsid w:val="004F0AB7"/>
  </w:style>
  <w:style w:type="paragraph" w:styleId="Quote">
    <w:name w:val="Quote"/>
    <w:basedOn w:val="Heading1"/>
    <w:link w:val="QuoteChar"/>
    <w:qFormat/>
    <w:rsid w:val="004F0AB7"/>
    <w:rPr>
      <w:b w:val="0"/>
      <w:sz w:val="72"/>
      <w:szCs w:val="72"/>
      <w:lang w:val="en-NZ"/>
    </w:rPr>
  </w:style>
  <w:style w:type="character" w:customStyle="1" w:styleId="QuoteChar">
    <w:name w:val="Quote Char"/>
    <w:basedOn w:val="DefaultParagraphFont"/>
    <w:link w:val="Quote"/>
    <w:rsid w:val="004F0A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0AB7"/>
    <w:pPr>
      <w:pageBreakBefore/>
    </w:pPr>
  </w:style>
  <w:style w:type="paragraph" w:customStyle="1" w:styleId="Border">
    <w:name w:val="Border"/>
    <w:basedOn w:val="Normal"/>
    <w:qFormat/>
    <w:rsid w:val="004F0A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0AB7"/>
    <w:rPr>
      <w:b/>
      <w:bCs/>
      <w:i/>
      <w:iCs/>
      <w:color w:val="auto"/>
    </w:rPr>
  </w:style>
  <w:style w:type="paragraph" w:styleId="IntenseQuote">
    <w:name w:val="Intense Quote"/>
    <w:basedOn w:val="Normal"/>
    <w:next w:val="Normal"/>
    <w:link w:val="IntenseQuoteChar"/>
    <w:uiPriority w:val="30"/>
    <w:qFormat/>
    <w:rsid w:val="004F0A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0A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0AB7"/>
    <w:rPr>
      <w:smallCaps/>
      <w:color w:val="auto"/>
      <w:u w:val="single"/>
    </w:rPr>
  </w:style>
  <w:style w:type="character" w:styleId="IntenseReference">
    <w:name w:val="Intense Reference"/>
    <w:basedOn w:val="DefaultParagraphFont"/>
    <w:uiPriority w:val="32"/>
    <w:qFormat/>
    <w:rsid w:val="004F0AB7"/>
    <w:rPr>
      <w:b/>
      <w:bCs/>
      <w:smallCaps/>
      <w:color w:val="auto"/>
      <w:spacing w:val="5"/>
      <w:u w:val="single"/>
    </w:rPr>
  </w:style>
  <w:style w:type="paragraph" w:customStyle="1" w:styleId="2ColumnHeading">
    <w:name w:val="2Column Heading"/>
    <w:basedOn w:val="BodyText"/>
    <w:qFormat/>
    <w:rsid w:val="004F0AB7"/>
    <w:pPr>
      <w:spacing w:after="60"/>
      <w:ind w:left="-2268"/>
    </w:pPr>
    <w:rPr>
      <w:b/>
    </w:rPr>
  </w:style>
  <w:style w:type="paragraph" w:customStyle="1" w:styleId="Heading1TOC">
    <w:name w:val="Heading1 TOC"/>
    <w:basedOn w:val="Normal"/>
    <w:qFormat/>
    <w:rsid w:val="004F0AB7"/>
    <w:pPr>
      <w:spacing w:before="240" w:after="120"/>
    </w:pPr>
    <w:rPr>
      <w:rFonts w:ascii="Times New Roman" w:hAnsi="Times New Roman"/>
      <w:b/>
      <w:sz w:val="32"/>
    </w:rPr>
  </w:style>
  <w:style w:type="paragraph" w:customStyle="1" w:styleId="Heading2TOC">
    <w:name w:val="Heading2 TOC"/>
    <w:basedOn w:val="Normal"/>
    <w:qFormat/>
    <w:rsid w:val="004F0AB7"/>
    <w:pPr>
      <w:spacing w:before="240" w:after="60"/>
    </w:pPr>
    <w:rPr>
      <w:rFonts w:ascii="Times New Roman" w:hAnsi="Times New Roman"/>
      <w:b/>
      <w:sz w:val="28"/>
    </w:rPr>
  </w:style>
  <w:style w:type="character" w:customStyle="1" w:styleId="Underline">
    <w:name w:val="Underline"/>
    <w:basedOn w:val="DefaultParagraphFont"/>
    <w:qFormat/>
    <w:rsid w:val="004F0AB7"/>
    <w:rPr>
      <w:u w:val="single"/>
    </w:rPr>
  </w:style>
  <w:style w:type="character" w:customStyle="1" w:styleId="BoldandItalics">
    <w:name w:val="Bold and Italics"/>
    <w:qFormat/>
    <w:rsid w:val="004F0AB7"/>
    <w:rPr>
      <w:b/>
      <w:i/>
      <w:u w:val="none"/>
    </w:rPr>
  </w:style>
  <w:style w:type="paragraph" w:styleId="BalloonText">
    <w:name w:val="Balloon Text"/>
    <w:basedOn w:val="Normal"/>
    <w:link w:val="BalloonTextChar"/>
    <w:rsid w:val="004F0AB7"/>
    <w:rPr>
      <w:rFonts w:ascii="Tahoma" w:hAnsi="Tahoma" w:cs="Tahoma"/>
      <w:sz w:val="16"/>
      <w:szCs w:val="16"/>
    </w:rPr>
  </w:style>
  <w:style w:type="character" w:customStyle="1" w:styleId="BalloonTextChar">
    <w:name w:val="Balloon Text Char"/>
    <w:basedOn w:val="DefaultParagraphFont"/>
    <w:link w:val="BalloonText"/>
    <w:rsid w:val="004F0A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0A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0A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0AB7"/>
    <w:rPr>
      <w:b/>
      <w:color w:val="660033"/>
      <w:spacing w:val="0"/>
    </w:rPr>
  </w:style>
  <w:style w:type="paragraph" w:customStyle="1" w:styleId="Nameditemlist">
    <w:name w:val="Named item list"/>
    <w:basedOn w:val="BodyText"/>
    <w:qFormat/>
    <w:rsid w:val="004F0AB7"/>
    <w:pPr>
      <w:tabs>
        <w:tab w:val="left" w:pos="2835"/>
      </w:tabs>
      <w:ind w:left="2835" w:hanging="2835"/>
    </w:pPr>
  </w:style>
  <w:style w:type="paragraph" w:customStyle="1" w:styleId="BodyTextnopadding">
    <w:name w:val="Body Text no padding"/>
    <w:basedOn w:val="BodyText"/>
    <w:qFormat/>
    <w:rsid w:val="004F0AB7"/>
    <w:pPr>
      <w:spacing w:before="0" w:after="0"/>
    </w:pPr>
  </w:style>
  <w:style w:type="paragraph" w:customStyle="1" w:styleId="BodyTextBold">
    <w:name w:val="Body Text Bold"/>
    <w:basedOn w:val="BodyText"/>
    <w:qFormat/>
    <w:rsid w:val="004F0AB7"/>
    <w:rPr>
      <w:b/>
    </w:rPr>
  </w:style>
  <w:style w:type="character" w:styleId="Hyperlink">
    <w:name w:val="Hyperlink"/>
    <w:basedOn w:val="DefaultParagraphFont"/>
    <w:uiPriority w:val="99"/>
    <w:unhideWhenUsed/>
    <w:rsid w:val="009A11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887</Words>
  <Characters>5876</Characters>
  <Application>Microsoft Office Word</Application>
  <DocSecurity>0</DocSecurity>
  <Lines>146</Lines>
  <Paragraphs>109</Paragraphs>
  <ScaleCrop>false</ScaleCrop>
  <Company>Author-it Software Corporation Ltd.</Company>
  <LinksUpToDate>false</LinksUpToDate>
  <CharactersWithSpaces>6654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MEM10023 Design and connect control switching of circuits for building services and industrial equipment</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2023-02-03T08:12:00Z</dcterms:created>
  <dcterms:modified xsi:type="dcterms:W3CDTF">2023-02-03T08:12:00Z</dcterms:modified>
</cp:coreProperties>
</file>