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05E" w:rsidP="00C4505E">
      <w:pPr>
        <w:pStyle w:val="Title"/>
      </w:pPr>
      <w:r>
        <w:fldChar w:fldCharType="begin"/>
      </w:r>
      <w:r>
        <w:instrText xml:space="preserve"> TITLE   \* MERGEFORMAT </w:instrText>
      </w:r>
      <w:r>
        <w:fldChar w:fldCharType="separate"/>
      </w:r>
      <w:r>
        <w:t>MEM10022 Commission and decommission high and low voltage equipment or installations</w:t>
      </w:r>
      <w:r>
        <w:fldChar w:fldCharType="end"/>
      </w:r>
    </w:p>
    <w:p w:rsidR="00C4505E" w:rsidP="00C4505E">
      <w:pPr>
        <w:pStyle w:val="Version"/>
        <w:sectPr w:rsidSect="00BC6A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6A3D" w:rsidP="00BC6A3D">
      <w:pPr>
        <w:pStyle w:val="SuperHeading"/>
      </w:pPr>
      <w:r w:rsidRPr="00BC6A3D">
        <w:t>MEM10022 Commission and decommission high and low voltage equipment or installations</w:t>
      </w:r>
    </w:p>
    <w:p w:rsidR="00000000" w:rsidRPr="00BC6A3D" w:rsidP="00BC6A3D">
      <w:pPr>
        <w:pStyle w:val="Heading1"/>
      </w:pPr>
      <w:bookmarkStart w:id="1" w:name="O_924487"/>
      <w:bookmarkEnd w:id="1"/>
      <w:r w:rsidRPr="00BC6A3D">
        <w:t>Modification History</w:t>
      </w:r>
    </w:p>
    <w:p w:rsidR="00000000" w:rsidRPr="00BC6A3D" w:rsidP="00C4505E">
      <w:pPr>
        <w:pStyle w:val="BodyText"/>
      </w:pPr>
      <w:r w:rsidRPr="00BC6A3D">
        <w:t>Release 2. Minor a</w:t>
      </w:r>
      <w:r w:rsidRPr="00BC6A3D">
        <w:t>djustments to reflect ERAC requirements for electrician licensing and revision of Essential Performance Capabilities.</w:t>
      </w:r>
    </w:p>
    <w:p w:rsidR="00000000" w:rsidRPr="00BC6A3D" w:rsidP="00C4505E">
      <w:pPr>
        <w:pStyle w:val="BodyText"/>
      </w:pPr>
      <w:r w:rsidRPr="00BC6A3D">
        <w:t>Release 1. New unit</w:t>
      </w:r>
    </w:p>
    <w:p w:rsidR="00000000" w:rsidRPr="00BC6A3D" w:rsidP="00BC6A3D">
      <w:pPr>
        <w:pStyle w:val="Heading1"/>
      </w:pPr>
      <w:bookmarkStart w:id="2" w:name="O_924486"/>
      <w:bookmarkEnd w:id="2"/>
      <w:r w:rsidRPr="00BC6A3D">
        <w:t>Application</w:t>
      </w:r>
    </w:p>
    <w:p w:rsidR="00000000" w:rsidRPr="00BC6A3D" w:rsidP="00C4505E">
      <w:pPr>
        <w:pStyle w:val="BodyText"/>
      </w:pPr>
      <w:r w:rsidRPr="00BC6A3D">
        <w:t>This unit of competency has been developed for Engineering Tradesperson –industrial elect</w:t>
      </w:r>
      <w:r w:rsidRPr="00BC6A3D">
        <w:t>rician apprenticeship training and the recognition of trade-level skills in switching, isolating, commissioning and decommissioning high voltage and low voltage electrical equipment or installations and seeking appropriate assistance.</w:t>
      </w:r>
    </w:p>
    <w:p w:rsidR="00000000" w:rsidRPr="00BC6A3D" w:rsidP="00C4505E">
      <w:pPr>
        <w:pStyle w:val="BodyText"/>
      </w:pPr>
      <w:r w:rsidRPr="00BC6A3D">
        <w:t>It covers the knowled</w:t>
      </w:r>
      <w:r w:rsidRPr="00BC6A3D">
        <w:t>ge of isolating and earthing arrangements, permit requirements for switching high voltage, appropriate assistance where required, commissioning and decommissioning procedures and safety measures.</w:t>
      </w:r>
    </w:p>
    <w:p w:rsidR="00000000" w:rsidRPr="00BC6A3D" w:rsidP="00C4505E">
      <w:pPr>
        <w:pStyle w:val="BodyText"/>
      </w:pPr>
      <w:r w:rsidRPr="00BC6A3D">
        <w:t>This unit covers the skills and knowledge required to meet t</w:t>
      </w:r>
      <w:r w:rsidRPr="00BC6A3D">
        <w:t>he Electrical Regulatory Authorities Council (ERAC).</w:t>
      </w:r>
    </w:p>
    <w:p w:rsidR="00000000" w:rsidRPr="00BC6A3D" w:rsidP="00C4505E">
      <w:pPr>
        <w:pStyle w:val="BodyText"/>
      </w:pPr>
      <w:r w:rsidRPr="00BC6A3D">
        <w:t>Essential Performance Capabilities (EPCs):</w:t>
      </w:r>
    </w:p>
    <w:p w:rsidR="00000000" w:rsidRPr="00BC6A3D" w:rsidP="00BC6A3D">
      <w:pPr>
        <w:pStyle w:val="ListBullet"/>
      </w:pPr>
      <w:r w:rsidRPr="00BC6A3D">
        <w:t>EPC 29 – Knowledge of the AS/NZS 3000 requirements for safety services and issues relevant to HV installations. Standards referenced for electrical installatio</w:t>
      </w:r>
      <w:r w:rsidRPr="00BC6A3D">
        <w:t>ns related to transportable structures and vehicles, shows and carnivals, patient areas, marinas and boats, and construction/demolition sites.</w:t>
      </w:r>
    </w:p>
    <w:p w:rsidR="00000000" w:rsidRPr="00BC6A3D" w:rsidP="00BC6A3D">
      <w:pPr>
        <w:pStyle w:val="ListBullet"/>
      </w:pPr>
      <w:r w:rsidRPr="00BC6A3D">
        <w:t>EPC 49 – Describe the types of potential operational situations that may be encountered in various areas of indus</w:t>
      </w:r>
      <w:r w:rsidRPr="00BC6A3D">
        <w:t>try and the type of assistance that may be needed from more experienced industry personnel.</w:t>
      </w:r>
    </w:p>
    <w:p w:rsidR="00000000" w:rsidRPr="00BC6A3D" w:rsidP="00C4505E">
      <w:pPr>
        <w:pStyle w:val="Heading3"/>
      </w:pPr>
      <w:r w:rsidRPr="00BC6A3D">
        <w:t>And</w:t>
      </w:r>
    </w:p>
    <w:p w:rsidR="00000000" w:rsidRPr="00BC6A3D" w:rsidP="00C4505E">
      <w:pPr>
        <w:pStyle w:val="BodyText"/>
      </w:pPr>
      <w:r w:rsidRPr="00BC6A3D">
        <w:t>Essential Performance Capability (EPC) classified as ‘critical’:</w:t>
      </w:r>
    </w:p>
    <w:p w:rsidR="00000000" w:rsidRPr="00BC6A3D" w:rsidP="00BC6A3D">
      <w:pPr>
        <w:pStyle w:val="ListBullet"/>
      </w:pPr>
      <w:r w:rsidRPr="00BC6A3D">
        <w:t xml:space="preserve">EPC 50 – Describe the methods of commissioning and/or decommissioning electrical equipment or </w:t>
      </w:r>
      <w:r w:rsidRPr="00BC6A3D">
        <w:t>an installation, using a systems approach.</w:t>
      </w:r>
    </w:p>
    <w:p w:rsidR="00000000" w:rsidRPr="00BC6A3D" w:rsidP="00C4505E">
      <w:pPr>
        <w:pStyle w:val="BodyText"/>
      </w:pPr>
      <w:r w:rsidRPr="00BC6A3D">
        <w:t>Some jurisdictions require the holder of this unit to be licensed or certified and users should check with the relevant authorities.</w:t>
      </w:r>
    </w:p>
    <w:p w:rsidR="00000000" w:rsidRPr="00BC6A3D" w:rsidP="00BC6A3D">
      <w:pPr>
        <w:pStyle w:val="BodyText"/>
      </w:pPr>
      <w:r w:rsidRPr="00BC6A3D">
        <w:rPr>
          <w:rStyle w:val="SpecialBold"/>
        </w:rPr>
        <w:t>Band:</w:t>
      </w:r>
      <w:r w:rsidRPr="00BC6A3D">
        <w:rPr>
          <w:rStyle w:val="SpecialBold"/>
        </w:rPr>
        <w:tab/>
        <w:t>A</w:t>
      </w:r>
    </w:p>
    <w:p w:rsidR="00000000" w:rsidRPr="00BC6A3D" w:rsidP="00BC6A3D">
      <w:pPr>
        <w:pStyle w:val="BodyText"/>
      </w:pPr>
      <w:r w:rsidRPr="00BC6A3D">
        <w:rPr>
          <w:rStyle w:val="SpecialBold"/>
        </w:rPr>
        <w:t>Unit Weight:</w:t>
      </w:r>
      <w:r w:rsidRPr="00BC6A3D">
        <w:rPr>
          <w:rStyle w:val="SpecialBold"/>
        </w:rPr>
        <w:tab/>
        <w:t>2</w:t>
      </w:r>
    </w:p>
    <w:p w:rsidR="00000000" w:rsidRPr="00BC6A3D" w:rsidP="00BC6A3D">
      <w:pPr>
        <w:pStyle w:val="AllowPageBreak"/>
      </w:pPr>
    </w:p>
    <w:p w:rsidR="00000000" w:rsidRPr="00BC6A3D" w:rsidP="00BC6A3D">
      <w:pPr>
        <w:pStyle w:val="Heading1"/>
      </w:pPr>
      <w:bookmarkStart w:id="3" w:name="O_924485"/>
      <w:bookmarkEnd w:id="3"/>
      <w:r w:rsidRPr="00BC6A3D">
        <w:t>Pre-requisite Unit</w:t>
      </w:r>
    </w:p>
    <w:p w:rsidR="00000000" w:rsidRPr="00BC6A3D" w:rsidP="00C4505E">
      <w:pPr>
        <w:pStyle w:val="BodyText"/>
      </w:pPr>
      <w:r w:rsidRPr="00BC6A3D">
        <w:t>Nil</w:t>
      </w:r>
    </w:p>
    <w:p w:rsidR="00000000" w:rsidRPr="00BC6A3D" w:rsidP="00BC6A3D">
      <w:pPr>
        <w:pStyle w:val="Heading1"/>
      </w:pPr>
      <w:bookmarkStart w:id="4" w:name="O_924484"/>
      <w:bookmarkEnd w:id="4"/>
      <w:r w:rsidRPr="00BC6A3D">
        <w:t>Competency Field</w:t>
      </w:r>
    </w:p>
    <w:p w:rsidR="00000000" w:rsidRPr="00BC6A3D" w:rsidP="00C4505E">
      <w:pPr>
        <w:pStyle w:val="BodyText"/>
      </w:pPr>
      <w:r w:rsidRPr="00BC6A3D">
        <w:t>Installation and commissioning</w:t>
      </w:r>
    </w:p>
    <w:p w:rsidR="00000000" w:rsidRPr="00BC6A3D" w:rsidP="00BC6A3D">
      <w:pPr>
        <w:pStyle w:val="Heading1"/>
      </w:pPr>
      <w:bookmarkStart w:id="5" w:name="O_924483"/>
      <w:bookmarkEnd w:id="5"/>
      <w:r w:rsidRPr="00BC6A3D">
        <w:t>Unit Sector</w:t>
      </w:r>
    </w:p>
    <w:p w:rsidR="00000000" w:rsidRPr="00BC6A3D" w:rsidP="00BC6A3D">
      <w:pPr>
        <w:pStyle w:val="Heading1"/>
      </w:pPr>
      <w:bookmarkStart w:id="6" w:name="O_924482"/>
      <w:bookmarkEnd w:id="6"/>
      <w:r w:rsidRPr="00BC6A3D">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BC6A3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Performance criteria describe the performance needed to demonstrate achievement of the</w:t>
            </w:r>
            <w:r w:rsidRPr="00BC6A3D">
              <w:t xml:space="preserve"> element. </w:t>
            </w:r>
          </w:p>
        </w:tc>
      </w:tr>
      <w:tr w:rsidTr="00BC6A3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1.</w:t>
            </w:r>
          </w:p>
        </w:tc>
        <w:tc>
          <w:tcPr>
            <w:tcW w:w="2100" w:type="dxa"/>
            <w:vMerge w:val="restart"/>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Determine job requirements</w:t>
            </w: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1.1.</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Follow standard operating procedures (SOPs)</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1.2.</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Comply with work health and safety (WHS) requirements at all times, including appropriate risk control measures</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1.3.</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Use appropriate personal protective equipment (PPE) in accordance with SOPs</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1.4.</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Consult and obtain approval from authorised personnel the need to commission or decommission electrical equipment or installation</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1.5.</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Analyse and confirm commissioning, switching and work schedules, including drawings, plans and regulatory requirements</w:t>
            </w:r>
          </w:p>
        </w:tc>
      </w:tr>
      <w:tr w:rsidTr="00BC6A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6A3D">
            <w:pPr>
              <w:pStyle w:val="BodyText"/>
              <w:rPr>
                <w:lang w:val="en-NZ"/>
              </w:rPr>
            </w:pPr>
          </w:p>
        </w:tc>
      </w:tr>
      <w:tr w:rsidTr="00BC6A3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2.</w:t>
            </w:r>
          </w:p>
        </w:tc>
        <w:tc>
          <w:tcPr>
            <w:tcW w:w="2100" w:type="dxa"/>
            <w:vMerge w:val="restart"/>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Prepare to commission or decommission electrical equipment or installation</w:t>
            </w: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2.1.</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Inspect or confirm suitability and safety of ele</w:t>
            </w:r>
            <w:r w:rsidRPr="00BC6A3D">
              <w:t>ctrical equipment or installation site for required commissioning or decommissioning</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2.2.</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Identify and obtain WHS policies and procedures related to the requirements for commissioning or decommissioning electrical equipment or installation</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2.3.</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 xml:space="preserve">Obtain necessary tools, equipment and testing devices needed for commissioning or decommissioning electrical equipment or installation </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2.4.</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Brief others participating in or affected by the work on commissioning or decommissioning of electrical equipmen</w:t>
            </w:r>
            <w:r w:rsidRPr="00BC6A3D">
              <w:t>t or installation</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2.5.</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 xml:space="preserve">Prepare the site according to the work schedule to minimise risk, disruption and damage to property, </w:t>
            </w:r>
            <w:r w:rsidRPr="00BC6A3D">
              <w:t>operations and individuals</w:t>
            </w:r>
          </w:p>
        </w:tc>
      </w:tr>
      <w:tr w:rsidTr="00BC6A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6A3D">
            <w:pPr>
              <w:pStyle w:val="BodyText"/>
              <w:rPr>
                <w:lang w:val="en-NZ"/>
              </w:rPr>
            </w:pPr>
          </w:p>
        </w:tc>
      </w:tr>
      <w:tr w:rsidTr="00BC6A3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3.</w:t>
            </w:r>
          </w:p>
        </w:tc>
        <w:tc>
          <w:tcPr>
            <w:tcW w:w="2100" w:type="dxa"/>
            <w:vMerge w:val="restart"/>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Commission or decommission electrical equipment or installation</w:t>
            </w: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3.1.</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Commission electrical equipment or installation using a systems approach, including the use of appropriate test equipment, in accordance with the approved commissioning schedule</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3.2.</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Verify that the performance of the installed equipment/installation through a series of tests is consistent with the customer requirements/specified design intent</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3.3.</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Capture and record performance data of the whole installation as the baseline for fut</w:t>
            </w:r>
            <w:r w:rsidRPr="00BC6A3D">
              <w:t>ure operation and maintenance</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3.4.</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Decommission electrical equipment or installation using an approved decommissioning schedule, including the use of appropriate test equipment, according to requirements and established procedures</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3.5.</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Shut down and isolate sequentially electrical equipment or installation in preparation for repair or maintenance work using safe working practices</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3.6.</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Deal safely with unexpected situations during the isolation process, including, where required, the a</w:t>
            </w:r>
            <w:r w:rsidRPr="00BC6A3D">
              <w:t>pproval of an authorised person</w:t>
            </w:r>
          </w:p>
        </w:tc>
      </w:tr>
      <w:tr w:rsidTr="00BC6A3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C6A3D">
            <w:pPr>
              <w:pStyle w:val="BodyText"/>
              <w:rPr>
                <w:lang w:val="en-NZ"/>
              </w:rPr>
            </w:pPr>
          </w:p>
        </w:tc>
      </w:tr>
      <w:tr w:rsidTr="00BC6A3D">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4.</w:t>
            </w:r>
          </w:p>
        </w:tc>
        <w:tc>
          <w:tcPr>
            <w:tcW w:w="2100" w:type="dxa"/>
            <w:vMerge w:val="restart"/>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Complete commission or decommission electrical equipment or installation</w:t>
            </w: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4.1.</w:t>
            </w:r>
          </w:p>
        </w:tc>
        <w:tc>
          <w:tcPr>
            <w:tcW w:w="561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Check work undertaken against work schedules for conformance with requirements and report anomalies in accordance with estab</w:t>
            </w:r>
            <w:r w:rsidRPr="00BC6A3D">
              <w:t>lished procedures</w:t>
            </w:r>
          </w:p>
        </w:tc>
      </w:tr>
      <w:tr w:rsidTr="00BC6A3D">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4.2.</w:t>
            </w:r>
          </w:p>
        </w:tc>
        <w:tc>
          <w:tcPr>
            <w:tcW w:w="5610" w:type="dxa"/>
            <w:tcBorders>
              <w:top w:val="nil"/>
              <w:left w:val="nil"/>
              <w:bottom w:val="nil"/>
              <w:right w:val="nil"/>
            </w:tcBorders>
            <w:tcMar>
              <w:top w:w="0" w:type="dxa"/>
              <w:left w:w="62" w:type="dxa"/>
              <w:bottom w:w="0" w:type="dxa"/>
              <w:right w:w="62" w:type="dxa"/>
            </w:tcMar>
          </w:tcPr>
          <w:p w:rsidR="00000000" w:rsidRPr="00BC6A3D" w:rsidP="00BC6A3D">
            <w:pPr>
              <w:pStyle w:val="BodyText"/>
            </w:pPr>
            <w:r w:rsidRPr="00BC6A3D">
              <w:t>Document completion of commissioning or decommissioning of electrical equipment or installation in accordance with established procedures</w:t>
            </w:r>
          </w:p>
        </w:tc>
      </w:tr>
    </w:tbl>
    <w:p w:rsidR="00000000" w:rsidRPr="00BC6A3D" w:rsidP="00BC6A3D">
      <w:pPr>
        <w:pStyle w:val="BodyText"/>
      </w:pPr>
    </w:p>
    <w:p w:rsidR="00000000" w:rsidRPr="00BC6A3D" w:rsidP="00BC6A3D">
      <w:pPr>
        <w:pStyle w:val="AllowPageBreak"/>
      </w:pPr>
    </w:p>
    <w:p w:rsidR="00000000" w:rsidRPr="00BC6A3D" w:rsidP="00BC6A3D">
      <w:pPr>
        <w:pStyle w:val="Heading1"/>
      </w:pPr>
      <w:bookmarkStart w:id="7" w:name="O_924481"/>
      <w:bookmarkEnd w:id="7"/>
      <w:r w:rsidRPr="00BC6A3D">
        <w:t>Foundation Skills</w:t>
      </w:r>
    </w:p>
    <w:p w:rsidR="00000000" w:rsidRPr="00BC6A3D" w:rsidP="00C4505E">
      <w:pPr>
        <w:pStyle w:val="BodyText"/>
      </w:pPr>
      <w:r w:rsidRPr="00BC6A3D">
        <w:t xml:space="preserve">This section describes those required skills (reading, </w:t>
      </w:r>
      <w:r w:rsidRPr="00BC6A3D">
        <w:t>writing, oral communication and numeracy) that are essential to workplace performance in this unit of competency.</w:t>
      </w:r>
    </w:p>
    <w:p w:rsidR="00000000" w:rsidRPr="00BC6A3D" w:rsidP="00C4505E">
      <w:pPr>
        <w:pStyle w:val="BodyText"/>
      </w:pPr>
      <w:r w:rsidRPr="00BC6A3D">
        <w:t>Foundation skills essential to performance are explicit in the performance criteria of this unit of competency.</w:t>
      </w:r>
    </w:p>
    <w:p w:rsidR="00000000" w:rsidRPr="00BC6A3D" w:rsidP="00BC6A3D">
      <w:pPr>
        <w:pStyle w:val="Heading1"/>
      </w:pPr>
      <w:bookmarkStart w:id="8" w:name="O_924480"/>
      <w:bookmarkEnd w:id="8"/>
      <w:r w:rsidRPr="00BC6A3D">
        <w:t>Range of Conditions</w:t>
      </w:r>
    </w:p>
    <w:tbl>
      <w:tblPr>
        <w:tblW w:w="9286" w:type="dxa"/>
        <w:tblLayout w:type="fixed"/>
        <w:tblCellMar>
          <w:left w:w="62" w:type="dxa"/>
          <w:right w:w="62" w:type="dxa"/>
        </w:tblCellMar>
        <w:tblLook w:val="0000"/>
      </w:tblPr>
      <w:tblGrid>
        <w:gridCol w:w="2759"/>
        <w:gridCol w:w="6527"/>
      </w:tblGrid>
      <w:tr w:rsidTr="00BC6A3D">
        <w:tblPrEx>
          <w:tblW w:w="9286" w:type="dxa"/>
          <w:tblLayout w:type="fixed"/>
          <w:tblCellMar>
            <w:left w:w="62" w:type="dxa"/>
            <w:right w:w="62" w:type="dxa"/>
          </w:tblCellMar>
          <w:tblLook w:val="0000"/>
        </w:tblPrEx>
        <w:tc>
          <w:tcPr>
            <w:tcW w:w="9286" w:type="dxa"/>
            <w:gridSpan w:val="2"/>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t>This field allows for different work environments and conditions that may affect performance. Essential operating conditions that may be present (depending on the work situation, needs of the candidate, accessibility of the item, and lo</w:t>
            </w:r>
            <w:r w:rsidRPr="00BC6A3D">
              <w:t>cal industry and regional contexts) are included.</w:t>
            </w:r>
          </w:p>
        </w:tc>
      </w:tr>
      <w:tr w:rsidTr="00BC6A3D">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rPr>
                <w:rStyle w:val="SpecialBold"/>
              </w:rPr>
              <w:t>Electrical equipment and installations include:</w:t>
            </w:r>
          </w:p>
        </w:tc>
        <w:tc>
          <w:tcPr>
            <w:tcW w:w="6527" w:type="dxa"/>
            <w:tcBorders>
              <w:top w:val="nil"/>
              <w:left w:val="nil"/>
              <w:bottom w:val="nil"/>
              <w:right w:val="nil"/>
            </w:tcBorders>
            <w:tcMar>
              <w:top w:w="0" w:type="dxa"/>
              <w:left w:w="62" w:type="dxa"/>
              <w:bottom w:w="0" w:type="dxa"/>
              <w:right w:w="62" w:type="dxa"/>
            </w:tcMar>
          </w:tcPr>
          <w:p w:rsidR="00000000" w:rsidRPr="00BC6A3D" w:rsidP="00BC6A3D">
            <w:pPr>
              <w:pStyle w:val="ListBullet"/>
            </w:pPr>
            <w:r w:rsidRPr="00BC6A3D">
              <w:t>new, replaced, or extensively modified equipment or installation in one or more of the following industrial environments:</w:t>
            </w:r>
          </w:p>
          <w:p w:rsidR="00000000" w:rsidRPr="00BC6A3D" w:rsidP="00BC6A3D">
            <w:pPr>
              <w:pStyle w:val="ListBullet2"/>
            </w:pPr>
            <w:r w:rsidRPr="00BC6A3D">
              <w:t>factory</w:t>
            </w:r>
          </w:p>
          <w:p w:rsidR="00000000" w:rsidRPr="00BC6A3D" w:rsidP="00BC6A3D">
            <w:pPr>
              <w:pStyle w:val="ListBullet2"/>
            </w:pPr>
            <w:r w:rsidRPr="00BC6A3D">
              <w:t>building</w:t>
            </w:r>
          </w:p>
          <w:p w:rsidR="00000000" w:rsidRPr="00BC6A3D" w:rsidP="00BC6A3D">
            <w:pPr>
              <w:pStyle w:val="ListBullet2"/>
            </w:pPr>
            <w:r w:rsidRPr="00BC6A3D">
              <w:t>off shore platform</w:t>
            </w:r>
          </w:p>
          <w:p w:rsidR="00000000" w:rsidRPr="00BC6A3D" w:rsidP="00BC6A3D">
            <w:pPr>
              <w:pStyle w:val="ListBullet2"/>
            </w:pPr>
            <w:r w:rsidRPr="00BC6A3D">
              <w:t>mine site processing</w:t>
            </w:r>
          </w:p>
          <w:p w:rsidR="00000000" w:rsidRPr="00BC6A3D" w:rsidP="00BC6A3D">
            <w:pPr>
              <w:pStyle w:val="ListBullet2"/>
            </w:pPr>
            <w:r w:rsidRPr="00BC6A3D">
              <w:t>oil and gas installation</w:t>
            </w:r>
          </w:p>
          <w:p w:rsidR="00000000" w:rsidRPr="00BC6A3D" w:rsidP="00BC6A3D">
            <w:pPr>
              <w:pStyle w:val="ListBullet2"/>
            </w:pPr>
            <w:r w:rsidRPr="00BC6A3D">
              <w:t>processing plant</w:t>
            </w:r>
          </w:p>
          <w:p w:rsidR="00000000" w:rsidRPr="00BC6A3D" w:rsidP="00BC6A3D">
            <w:pPr>
              <w:pStyle w:val="ListBullet2"/>
            </w:pPr>
            <w:r w:rsidRPr="00BC6A3D">
              <w:t>workshop</w:t>
            </w:r>
          </w:p>
          <w:p w:rsidR="00000000" w:rsidP="00BC6A3D">
            <w:pPr>
              <w:pStyle w:val="ListBullet2"/>
              <w:rPr>
                <w:lang w:val="en-NZ"/>
              </w:rPr>
            </w:pPr>
            <w:r w:rsidRPr="00BC6A3D">
              <w:t>underground installation</w:t>
            </w:r>
          </w:p>
        </w:tc>
      </w:tr>
      <w:tr w:rsidTr="00BC6A3D">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rPr>
                <w:rStyle w:val="SpecialBold"/>
              </w:rPr>
              <w:t>Test equipment includes one or more of the following:</w:t>
            </w:r>
          </w:p>
        </w:tc>
        <w:tc>
          <w:tcPr>
            <w:tcW w:w="6527" w:type="dxa"/>
            <w:tcBorders>
              <w:top w:val="nil"/>
              <w:left w:val="nil"/>
              <w:bottom w:val="nil"/>
              <w:right w:val="nil"/>
            </w:tcBorders>
            <w:tcMar>
              <w:top w:w="0" w:type="dxa"/>
              <w:left w:w="62" w:type="dxa"/>
              <w:bottom w:w="0" w:type="dxa"/>
              <w:right w:w="62" w:type="dxa"/>
            </w:tcMar>
          </w:tcPr>
          <w:p w:rsidR="00000000" w:rsidRPr="00BC6A3D" w:rsidP="00BC6A3D">
            <w:pPr>
              <w:pStyle w:val="ListBullet"/>
            </w:pPr>
            <w:r w:rsidRPr="00BC6A3D">
              <w:t>multimeters</w:t>
            </w:r>
          </w:p>
          <w:p w:rsidR="00000000" w:rsidRPr="00BC6A3D" w:rsidP="00BC6A3D">
            <w:pPr>
              <w:pStyle w:val="ListBullet"/>
            </w:pPr>
            <w:r w:rsidRPr="00BC6A3D">
              <w:t xml:space="preserve">ammeters </w:t>
            </w:r>
          </w:p>
          <w:p w:rsidR="00000000" w:rsidRPr="00BC6A3D" w:rsidP="00BC6A3D">
            <w:pPr>
              <w:pStyle w:val="ListBullet"/>
            </w:pPr>
            <w:r w:rsidRPr="00BC6A3D">
              <w:t>tong testers</w:t>
            </w:r>
          </w:p>
          <w:p w:rsidR="00000000" w:rsidRPr="00BC6A3D" w:rsidP="00BC6A3D">
            <w:pPr>
              <w:pStyle w:val="ListBullet"/>
            </w:pPr>
            <w:r w:rsidRPr="00BC6A3D">
              <w:t xml:space="preserve">voltmeters </w:t>
            </w:r>
          </w:p>
          <w:p w:rsidR="00000000" w:rsidRPr="00BC6A3D" w:rsidP="00BC6A3D">
            <w:pPr>
              <w:pStyle w:val="ListBullet"/>
            </w:pPr>
            <w:r w:rsidRPr="00BC6A3D">
              <w:t>continuity testers</w:t>
            </w:r>
          </w:p>
          <w:p w:rsidR="00000000" w:rsidRPr="00BC6A3D" w:rsidP="00BC6A3D">
            <w:pPr>
              <w:pStyle w:val="ListBullet"/>
            </w:pPr>
            <w:r w:rsidRPr="00BC6A3D">
              <w:t>insulation resistance testers</w:t>
            </w:r>
          </w:p>
          <w:p w:rsidR="00000000" w:rsidRPr="00BC6A3D" w:rsidP="00BC6A3D">
            <w:pPr>
              <w:pStyle w:val="ListBullet"/>
            </w:pPr>
            <w:r w:rsidRPr="00BC6A3D">
              <w:t>appropriate proving dead meters</w:t>
            </w:r>
          </w:p>
          <w:p w:rsidR="00000000" w:rsidP="00BC6A3D">
            <w:pPr>
              <w:pStyle w:val="ListBullet"/>
              <w:rPr>
                <w:lang w:val="en-NZ"/>
              </w:rPr>
            </w:pPr>
            <w:r w:rsidRPr="00BC6A3D">
              <w:t>high potential testers</w:t>
            </w:r>
          </w:p>
        </w:tc>
      </w:tr>
      <w:tr w:rsidTr="00BC6A3D">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rPr>
                <w:rStyle w:val="SpecialBold"/>
              </w:rPr>
              <w:t>Regulatory requirements include:</w:t>
            </w:r>
          </w:p>
        </w:tc>
        <w:tc>
          <w:tcPr>
            <w:tcW w:w="6527" w:type="dxa"/>
            <w:tcBorders>
              <w:top w:val="nil"/>
              <w:left w:val="nil"/>
              <w:bottom w:val="nil"/>
              <w:right w:val="nil"/>
            </w:tcBorders>
            <w:tcMar>
              <w:top w:w="0" w:type="dxa"/>
              <w:left w:w="62" w:type="dxa"/>
              <w:bottom w:w="0" w:type="dxa"/>
              <w:right w:w="62" w:type="dxa"/>
            </w:tcMar>
          </w:tcPr>
          <w:p w:rsidR="00000000" w:rsidP="00BC6A3D">
            <w:pPr>
              <w:pStyle w:val="ListBullet"/>
              <w:rPr>
                <w:lang w:val="en-NZ"/>
              </w:rPr>
            </w:pPr>
            <w:r w:rsidRPr="00BC6A3D">
              <w:t>AS/NZS 3000:2007 Electrical Installations (known as the Australian/New Zealand Wiring Rules)</w:t>
            </w:r>
          </w:p>
        </w:tc>
      </w:tr>
      <w:tr w:rsidTr="00BC6A3D">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C6A3D">
            <w:pPr>
              <w:pStyle w:val="BodyText"/>
              <w:rPr>
                <w:lang w:val="en-NZ"/>
              </w:rPr>
            </w:pPr>
            <w:r w:rsidRPr="00BC6A3D">
              <w:rPr>
                <w:rStyle w:val="SpecialBold"/>
              </w:rPr>
              <w:t>Safe working practices include:</w:t>
            </w:r>
          </w:p>
        </w:tc>
        <w:tc>
          <w:tcPr>
            <w:tcW w:w="6527" w:type="dxa"/>
            <w:tcBorders>
              <w:top w:val="nil"/>
              <w:left w:val="nil"/>
              <w:bottom w:val="nil"/>
              <w:right w:val="nil"/>
            </w:tcBorders>
            <w:tcMar>
              <w:top w:w="0" w:type="dxa"/>
              <w:left w:w="62" w:type="dxa"/>
              <w:bottom w:w="0" w:type="dxa"/>
              <w:right w:w="62" w:type="dxa"/>
            </w:tcMar>
          </w:tcPr>
          <w:p w:rsidR="00000000" w:rsidRPr="00BC6A3D" w:rsidP="00BC6A3D">
            <w:pPr>
              <w:pStyle w:val="ListBullet"/>
            </w:pPr>
            <w:r w:rsidRPr="00BC6A3D">
              <w:t>demonstra</w:t>
            </w:r>
            <w:r w:rsidRPr="00BC6A3D">
              <w:t xml:space="preserve">tion of safe working practices and installation in accordance with industry established safe and sound practices </w:t>
            </w:r>
          </w:p>
        </w:tc>
      </w:tr>
    </w:tbl>
    <w:p w:rsidR="00000000" w:rsidRPr="00BC6A3D" w:rsidP="00BC6A3D">
      <w:pPr>
        <w:pStyle w:val="BodyText"/>
      </w:pPr>
    </w:p>
    <w:p w:rsidR="00000000" w:rsidRPr="00BC6A3D" w:rsidP="00BC6A3D">
      <w:pPr>
        <w:pStyle w:val="AllowPageBreak"/>
      </w:pPr>
    </w:p>
    <w:p w:rsidR="00000000" w:rsidRPr="00BC6A3D" w:rsidP="00BC6A3D">
      <w:pPr>
        <w:pStyle w:val="Heading1"/>
      </w:pPr>
      <w:bookmarkStart w:id="9" w:name="O_924479"/>
      <w:bookmarkEnd w:id="9"/>
      <w:r w:rsidRPr="00BC6A3D">
        <w:t>Unit Mapping Information</w:t>
      </w:r>
    </w:p>
    <w:p w:rsidR="00000000" w:rsidRPr="00BC6A3D" w:rsidP="00C4505E">
      <w:pPr>
        <w:pStyle w:val="BodyText"/>
      </w:pPr>
      <w:r w:rsidRPr="00BC6A3D">
        <w:t xml:space="preserve">Release 2. Equivalent. Minor adjustments to reflect ERAC requirements for electrician </w:t>
      </w:r>
      <w:r w:rsidRPr="00BC6A3D">
        <w:t>licensing and revision of Essential Performance Capabilities.</w:t>
      </w:r>
    </w:p>
    <w:p w:rsidR="00000000" w:rsidRPr="00BC6A3D" w:rsidP="00BC6A3D">
      <w:pPr>
        <w:pStyle w:val="Heading1"/>
      </w:pPr>
      <w:bookmarkStart w:id="10" w:name="O_924488"/>
      <w:bookmarkEnd w:id="10"/>
      <w:r w:rsidRPr="00BC6A3D">
        <w:t>Links</w:t>
      </w:r>
    </w:p>
    <w:p w:rsidR="00000000" w:rsidRPr="00BC6A3D" w:rsidP="00C4505E">
      <w:pPr>
        <w:pStyle w:val="BodyText"/>
      </w:pPr>
      <w:r w:rsidRPr="00BC6A3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31107">
        <w:rPr>
          <w:rStyle w:val="Hyperlink"/>
        </w:rPr>
        <w:t>https://vetnet.gov.au/Pages/TrainingDocs.aspx?q=b7050d37-5fd0-4740-8f7d-3b7a49c10bb2</w:t>
      </w:r>
      <w:r>
        <w:fldChar w:fldCharType="end"/>
      </w:r>
    </w:p>
    <w:p w:rsidR="00000000" w:rsidRPr="00BC6A3D" w:rsidP="00BC6A3D"/>
    <w:sectPr w:rsidSect="00BC6A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3D" w:rsidRPr="00C4505E" w:rsidP="00C450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5E" w:rsidP="00BC6A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505E" w:rsidP="00BC6A3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505E" w:rsidP="00BC6A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6A3D" w:rsidRPr="00C4505E" w:rsidP="00C450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A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05E" w:rsidRPr="002D2AF8" w:rsidP="00BC6A3D">
    <w:pPr>
      <w:pStyle w:val="Header"/>
      <w:framePr w:wrap="around"/>
    </w:pPr>
    <w:r>
      <w:fldChar w:fldCharType="begin"/>
    </w:r>
    <w:r>
      <w:instrText xml:space="preserve"> TITLE   \* MERGEFORMAT </w:instrText>
    </w:r>
    <w:r>
      <w:fldChar w:fldCharType="separate"/>
    </w:r>
    <w:r>
      <w:t>MEM10022 Commission and decommission high and low voltage equipment or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C4505E" w:rsidP="00BC6A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A8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9481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2C20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A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6A3D"/>
    <w:pPr>
      <w:spacing w:before="360" w:after="60"/>
      <w:outlineLvl w:val="0"/>
    </w:pPr>
    <w:rPr>
      <w:sz w:val="32"/>
    </w:rPr>
  </w:style>
  <w:style w:type="paragraph" w:styleId="Heading2">
    <w:name w:val="heading 2"/>
    <w:basedOn w:val="HeadingBase"/>
    <w:next w:val="BodyText"/>
    <w:link w:val="Heading2Char"/>
    <w:qFormat/>
    <w:rsid w:val="00BC6A3D"/>
    <w:pPr>
      <w:keepLines/>
      <w:spacing w:before="240" w:after="120"/>
      <w:outlineLvl w:val="1"/>
    </w:pPr>
    <w:rPr>
      <w:sz w:val="28"/>
      <w:szCs w:val="40"/>
    </w:rPr>
  </w:style>
  <w:style w:type="paragraph" w:styleId="Heading3">
    <w:name w:val="heading 3"/>
    <w:basedOn w:val="HeadingBase"/>
    <w:next w:val="BodyText"/>
    <w:link w:val="Heading3Char"/>
    <w:qFormat/>
    <w:rsid w:val="00BC6A3D"/>
    <w:pPr>
      <w:spacing w:before="180" w:after="120"/>
      <w:outlineLvl w:val="2"/>
    </w:pPr>
    <w:rPr>
      <w:spacing w:val="-10"/>
      <w:kern w:val="32"/>
    </w:rPr>
  </w:style>
  <w:style w:type="paragraph" w:styleId="Heading4">
    <w:name w:val="heading 4"/>
    <w:basedOn w:val="HeadingBase"/>
    <w:next w:val="BodyText"/>
    <w:link w:val="Heading4Char"/>
    <w:qFormat/>
    <w:rsid w:val="00BC6A3D"/>
    <w:pPr>
      <w:spacing w:before="160" w:after="120"/>
      <w:outlineLvl w:val="3"/>
    </w:pPr>
    <w:rPr>
      <w:sz w:val="22"/>
    </w:rPr>
  </w:style>
  <w:style w:type="paragraph" w:styleId="Heading5">
    <w:name w:val="heading 5"/>
    <w:basedOn w:val="HeadingBase"/>
    <w:next w:val="Normal"/>
    <w:link w:val="Heading5Char"/>
    <w:qFormat/>
    <w:rsid w:val="00BC6A3D"/>
    <w:pPr>
      <w:spacing w:before="80"/>
      <w:outlineLvl w:val="4"/>
    </w:pPr>
    <w:rPr>
      <w:color w:val="918585"/>
      <w:sz w:val="20"/>
    </w:rPr>
  </w:style>
  <w:style w:type="paragraph" w:styleId="Heading6">
    <w:name w:val="heading 6"/>
    <w:basedOn w:val="HeadingBase"/>
    <w:next w:val="Normal"/>
    <w:link w:val="Heading6Char"/>
    <w:qFormat/>
    <w:rsid w:val="00BC6A3D"/>
    <w:pPr>
      <w:spacing w:before="60"/>
      <w:outlineLvl w:val="5"/>
    </w:pPr>
    <w:rPr>
      <w:color w:val="918585"/>
      <w:sz w:val="20"/>
    </w:rPr>
  </w:style>
  <w:style w:type="paragraph" w:styleId="Heading7">
    <w:name w:val="heading 7"/>
    <w:basedOn w:val="Normal"/>
    <w:next w:val="Normal"/>
    <w:link w:val="Heading7Char"/>
    <w:qFormat/>
    <w:rsid w:val="00BC6A3D"/>
    <w:pPr>
      <w:ind w:left="720"/>
      <w:outlineLvl w:val="6"/>
    </w:pPr>
    <w:rPr>
      <w:i/>
    </w:rPr>
  </w:style>
  <w:style w:type="paragraph" w:styleId="Heading8">
    <w:name w:val="heading 8"/>
    <w:basedOn w:val="Normal"/>
    <w:next w:val="Normal"/>
    <w:link w:val="Heading8Char"/>
    <w:qFormat/>
    <w:rsid w:val="00BC6A3D"/>
    <w:pPr>
      <w:ind w:left="720"/>
      <w:outlineLvl w:val="7"/>
    </w:pPr>
    <w:rPr>
      <w:i/>
    </w:rPr>
  </w:style>
  <w:style w:type="paragraph" w:styleId="Heading9">
    <w:name w:val="heading 9"/>
    <w:basedOn w:val="Normal"/>
    <w:next w:val="Normal"/>
    <w:link w:val="Heading9Char"/>
    <w:qFormat/>
    <w:rsid w:val="00BC6A3D"/>
    <w:pPr>
      <w:ind w:left="720"/>
      <w:outlineLvl w:val="8"/>
    </w:pPr>
    <w:rPr>
      <w:i/>
    </w:rPr>
  </w:style>
  <w:style w:type="character" w:default="1" w:styleId="DefaultParagraphFont">
    <w:name w:val="Default Paragraph Font"/>
    <w:uiPriority w:val="1"/>
    <w:unhideWhenUsed/>
    <w:rsid w:val="00BC6A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A3D"/>
  </w:style>
  <w:style w:type="character" w:customStyle="1" w:styleId="Heading1Char">
    <w:name w:val="Heading 1 Char"/>
    <w:basedOn w:val="DefaultParagraphFont"/>
    <w:link w:val="Heading1"/>
    <w:rsid w:val="00BC6A3D"/>
    <w:rPr>
      <w:rFonts w:ascii="Times New Roman" w:eastAsia="Times New Roman" w:hAnsi="Times New Roman" w:cs="Times New Roman"/>
      <w:b/>
      <w:sz w:val="32"/>
      <w:szCs w:val="20"/>
      <w:lang w:eastAsia="en-US"/>
    </w:rPr>
  </w:style>
  <w:style w:type="paragraph" w:styleId="BodyText">
    <w:name w:val="Body Text"/>
    <w:basedOn w:val="Normal"/>
    <w:link w:val="BodyTextChar"/>
    <w:rsid w:val="00BC6A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6A3D"/>
    <w:rPr>
      <w:rFonts w:ascii="Times New Roman" w:eastAsia="Times New Roman" w:hAnsi="Times New Roman" w:cs="Times New Roman"/>
      <w:sz w:val="24"/>
      <w:lang w:eastAsia="en-US"/>
    </w:rPr>
  </w:style>
  <w:style w:type="paragraph" w:styleId="ListBullet">
    <w:name w:val="List Bullet"/>
    <w:basedOn w:val="List"/>
    <w:rsid w:val="00BC6A3D"/>
    <w:pPr>
      <w:numPr>
        <w:numId w:val="12"/>
      </w:numPr>
      <w:tabs>
        <w:tab w:val="clear" w:pos="340"/>
      </w:tabs>
      <w:spacing w:before="40" w:after="40"/>
    </w:pPr>
  </w:style>
  <w:style w:type="character" w:customStyle="1" w:styleId="SpecialBold">
    <w:name w:val="Special Bold"/>
    <w:basedOn w:val="DefaultParagraphFont"/>
    <w:rsid w:val="00BC6A3D"/>
    <w:rPr>
      <w:b/>
      <w:spacing w:val="0"/>
    </w:rPr>
  </w:style>
  <w:style w:type="paragraph" w:styleId="ListBullet2">
    <w:name w:val="List Bullet 2"/>
    <w:basedOn w:val="List2"/>
    <w:rsid w:val="00BC6A3D"/>
    <w:pPr>
      <w:numPr>
        <w:numId w:val="13"/>
      </w:numPr>
      <w:tabs>
        <w:tab w:val="clear" w:pos="680"/>
      </w:tabs>
    </w:pPr>
  </w:style>
  <w:style w:type="paragraph" w:customStyle="1" w:styleId="SuperHeading">
    <w:name w:val="SuperHeading"/>
    <w:basedOn w:val="Normal"/>
    <w:rsid w:val="00BC6A3D"/>
    <w:pPr>
      <w:spacing w:before="240" w:after="120"/>
      <w:outlineLvl w:val="0"/>
    </w:pPr>
    <w:rPr>
      <w:rFonts w:ascii="Times New Roman" w:hAnsi="Times New Roman"/>
      <w:b/>
      <w:sz w:val="32"/>
    </w:rPr>
  </w:style>
  <w:style w:type="paragraph" w:customStyle="1" w:styleId="AllowPageBreak">
    <w:name w:val="AllowPageBreak"/>
    <w:rsid w:val="00BC6A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A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A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A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A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A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A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6A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6A3D"/>
    <w:rPr>
      <w:rFonts w:ascii="Courier New" w:eastAsia="Times New Roman" w:hAnsi="Courier New" w:cs="Times New Roman"/>
      <w:i/>
      <w:szCs w:val="20"/>
      <w:lang w:eastAsia="en-US"/>
    </w:rPr>
  </w:style>
  <w:style w:type="paragraph" w:customStyle="1" w:styleId="HeadingBase">
    <w:name w:val="Heading Base"/>
    <w:rsid w:val="00BC6A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A3D"/>
    <w:pPr>
      <w:tabs>
        <w:tab w:val="right" w:leader="dot" w:pos="9072"/>
      </w:tabs>
      <w:ind w:left="567"/>
    </w:pPr>
    <w:rPr>
      <w:szCs w:val="22"/>
    </w:rPr>
  </w:style>
  <w:style w:type="paragraph" w:customStyle="1" w:styleId="TOCBase">
    <w:name w:val="TOC Base"/>
    <w:rsid w:val="00BC6A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A3D"/>
    <w:pPr>
      <w:tabs>
        <w:tab w:val="right" w:leader="dot" w:pos="9072"/>
      </w:tabs>
      <w:spacing w:before="40" w:after="40"/>
      <w:ind w:left="284"/>
    </w:pPr>
    <w:rPr>
      <w:rFonts w:ascii="Times New Roman" w:hAnsi="Times New Roman"/>
    </w:rPr>
  </w:style>
  <w:style w:type="paragraph" w:styleId="TOC1">
    <w:name w:val="toc 1"/>
    <w:basedOn w:val="TOCBase"/>
    <w:next w:val="Normal"/>
    <w:rsid w:val="00BC6A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6A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A3D"/>
    <w:rPr>
      <w:rFonts w:ascii="Times New Roman" w:eastAsia="Times New Roman" w:hAnsi="Times New Roman" w:cs="Times New Roman"/>
      <w:sz w:val="16"/>
      <w:lang w:eastAsia="en-US"/>
    </w:rPr>
  </w:style>
  <w:style w:type="paragraph" w:styleId="Title">
    <w:name w:val="Title"/>
    <w:basedOn w:val="HeadingBase"/>
    <w:link w:val="TitleChar"/>
    <w:qFormat/>
    <w:rsid w:val="00BC6A3D"/>
    <w:pPr>
      <w:spacing w:before="5040"/>
      <w:jc w:val="center"/>
    </w:pPr>
    <w:rPr>
      <w:sz w:val="48"/>
      <w:szCs w:val="72"/>
      <w:lang w:val="en-US"/>
    </w:rPr>
  </w:style>
  <w:style w:type="character" w:customStyle="1" w:styleId="TitleChar">
    <w:name w:val="Title Char"/>
    <w:basedOn w:val="DefaultParagraphFont"/>
    <w:link w:val="Title"/>
    <w:rsid w:val="00BC6A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A3D"/>
    <w:pPr>
      <w:tabs>
        <w:tab w:val="left" w:pos="3600"/>
        <w:tab w:val="left" w:pos="3958"/>
      </w:tabs>
    </w:pPr>
  </w:style>
  <w:style w:type="paragraph" w:styleId="List">
    <w:name w:val="List"/>
    <w:basedOn w:val="BodyText"/>
    <w:next w:val="BodyText"/>
    <w:rsid w:val="00BC6A3D"/>
    <w:pPr>
      <w:tabs>
        <w:tab w:val="left" w:pos="340"/>
      </w:tabs>
      <w:spacing w:before="60" w:after="60"/>
      <w:ind w:left="340" w:hanging="340"/>
    </w:pPr>
  </w:style>
  <w:style w:type="paragraph" w:customStyle="1" w:styleId="Note">
    <w:name w:val="Note"/>
    <w:basedOn w:val="BodyText"/>
    <w:rsid w:val="00BC6A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A3D"/>
    <w:pPr>
      <w:framePr w:wrap="auto" w:hAnchor="text" w:y="6049"/>
    </w:pPr>
    <w:rPr>
      <w:color w:val="000000"/>
      <w:sz w:val="40"/>
    </w:rPr>
  </w:style>
  <w:style w:type="paragraph" w:customStyle="1" w:styleId="TOCTitle">
    <w:name w:val="TOCTitle"/>
    <w:basedOn w:val="Heading1"/>
    <w:rsid w:val="00BC6A3D"/>
    <w:pPr>
      <w:spacing w:after="240"/>
      <w:jc w:val="center"/>
      <w:outlineLvl w:val="9"/>
    </w:pPr>
    <w:rPr>
      <w:caps/>
    </w:rPr>
  </w:style>
  <w:style w:type="paragraph" w:customStyle="1" w:styleId="Version">
    <w:name w:val="Version"/>
    <w:rsid w:val="00BC6A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6A3D"/>
    <w:pPr>
      <w:keepNext w:val="0"/>
      <w:tabs>
        <w:tab w:val="right" w:pos="4176"/>
      </w:tabs>
      <w:ind w:left="198" w:hanging="198"/>
    </w:pPr>
    <w:rPr>
      <w:rFonts w:ascii="Garamond" w:hAnsi="Garamond"/>
    </w:rPr>
  </w:style>
  <w:style w:type="paragraph" w:styleId="IndexHeading">
    <w:name w:val="index heading"/>
    <w:basedOn w:val="Normal"/>
    <w:next w:val="Index1"/>
    <w:semiHidden/>
    <w:rsid w:val="00BC6A3D"/>
    <w:pPr>
      <w:spacing w:before="120" w:after="120"/>
    </w:pPr>
    <w:rPr>
      <w:rFonts w:ascii="Arial" w:hAnsi="Arial"/>
      <w:b/>
      <w:color w:val="918585"/>
      <w:sz w:val="24"/>
    </w:rPr>
  </w:style>
  <w:style w:type="paragraph" w:styleId="Header">
    <w:name w:val="header"/>
    <w:basedOn w:val="Normal"/>
    <w:link w:val="HeaderChar"/>
    <w:rsid w:val="00BC6A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A3D"/>
    <w:rPr>
      <w:rFonts w:ascii="Times New Roman" w:eastAsia="Times New Roman" w:hAnsi="Times New Roman" w:cs="Times New Roman"/>
      <w:sz w:val="16"/>
      <w:szCs w:val="20"/>
      <w:lang w:val="en-GB" w:eastAsia="en-US"/>
    </w:rPr>
  </w:style>
  <w:style w:type="paragraph" w:customStyle="1" w:styleId="Chapter">
    <w:name w:val="Chapter"/>
    <w:basedOn w:val="Normal"/>
    <w:rsid w:val="00BC6A3D"/>
    <w:pPr>
      <w:spacing w:before="240"/>
    </w:pPr>
    <w:rPr>
      <w:rFonts w:ascii="Times New Roman" w:hAnsi="Times New Roman"/>
      <w:smallCaps/>
      <w:spacing w:val="80"/>
      <w:sz w:val="28"/>
    </w:rPr>
  </w:style>
  <w:style w:type="paragraph" w:customStyle="1" w:styleId="InChapter">
    <w:name w:val="InChapter"/>
    <w:basedOn w:val="Heading3"/>
    <w:rsid w:val="00BC6A3D"/>
    <w:pPr>
      <w:spacing w:after="240"/>
      <w:outlineLvl w:val="9"/>
    </w:pPr>
    <w:rPr>
      <w:noProof/>
    </w:rPr>
  </w:style>
  <w:style w:type="paragraph" w:styleId="Index2">
    <w:name w:val="index 2"/>
    <w:basedOn w:val="Normal"/>
    <w:next w:val="Normal"/>
    <w:semiHidden/>
    <w:rsid w:val="00BC6A3D"/>
    <w:pPr>
      <w:tabs>
        <w:tab w:val="right" w:pos="4176"/>
      </w:tabs>
      <w:ind w:left="568" w:hanging="284"/>
    </w:pPr>
    <w:rPr>
      <w:rFonts w:ascii="Garamond" w:hAnsi="Garamond"/>
    </w:rPr>
  </w:style>
  <w:style w:type="paragraph" w:customStyle="1" w:styleId="Byline">
    <w:name w:val="Byline"/>
    <w:rsid w:val="00BC6A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A3D"/>
    <w:pPr>
      <w:tabs>
        <w:tab w:val="clear" w:pos="3600"/>
        <w:tab w:val="clear" w:pos="3958"/>
      </w:tabs>
      <w:jc w:val="right"/>
    </w:pPr>
  </w:style>
  <w:style w:type="character" w:styleId="Emphasis">
    <w:name w:val="Emphasis"/>
    <w:basedOn w:val="DefaultParagraphFont"/>
    <w:qFormat/>
    <w:rsid w:val="00BC6A3D"/>
    <w:rPr>
      <w:i/>
    </w:rPr>
  </w:style>
  <w:style w:type="paragraph" w:styleId="Caption">
    <w:name w:val="caption"/>
    <w:basedOn w:val="BodyText"/>
    <w:next w:val="Normal"/>
    <w:qFormat/>
    <w:rsid w:val="00BC6A3D"/>
    <w:pPr>
      <w:framePr w:w="2268" w:hSpace="181" w:vSpace="181" w:wrap="around" w:vAnchor="text" w:hAnchor="page" w:x="1135" w:y="285" w:anchorLock="1"/>
    </w:pPr>
    <w:rPr>
      <w:i/>
    </w:rPr>
  </w:style>
  <w:style w:type="paragraph" w:customStyle="1" w:styleId="MiniTOCTitle">
    <w:name w:val="MiniTOCTitle"/>
    <w:basedOn w:val="Heading4"/>
    <w:rsid w:val="00BC6A3D"/>
    <w:pPr>
      <w:spacing w:before="240"/>
      <w:outlineLvl w:val="9"/>
    </w:pPr>
    <w:rPr>
      <w:noProof/>
      <w:sz w:val="24"/>
    </w:rPr>
  </w:style>
  <w:style w:type="paragraph" w:customStyle="1" w:styleId="MiniTOCItem">
    <w:name w:val="MiniTOCItem"/>
    <w:basedOn w:val="ListBullet"/>
    <w:rsid w:val="00BC6A3D"/>
    <w:pPr>
      <w:numPr>
        <w:numId w:val="0"/>
      </w:numPr>
      <w:tabs>
        <w:tab w:val="right" w:leader="dot" w:pos="6521"/>
      </w:tabs>
      <w:spacing w:before="0" w:after="0"/>
    </w:pPr>
  </w:style>
  <w:style w:type="paragraph" w:customStyle="1" w:styleId="TOFTitle">
    <w:name w:val="TOFTitle"/>
    <w:basedOn w:val="TOCTitle"/>
    <w:rsid w:val="00BC6A3D"/>
  </w:style>
  <w:style w:type="paragraph" w:styleId="TableofFigures">
    <w:name w:val="table of figures"/>
    <w:basedOn w:val="Normal"/>
    <w:next w:val="Normal"/>
    <w:semiHidden/>
    <w:rsid w:val="00BC6A3D"/>
    <w:pPr>
      <w:tabs>
        <w:tab w:val="right" w:leader="dot" w:pos="9072"/>
      </w:tabs>
      <w:ind w:left="970" w:hanging="403"/>
    </w:pPr>
    <w:rPr>
      <w:rFonts w:ascii="Times New Roman" w:hAnsi="Times New Roman"/>
      <w:b/>
    </w:rPr>
  </w:style>
  <w:style w:type="paragraph" w:styleId="ListNumber">
    <w:name w:val="List Number"/>
    <w:basedOn w:val="List"/>
    <w:rsid w:val="00BC6A3D"/>
    <w:pPr>
      <w:numPr>
        <w:numId w:val="15"/>
      </w:numPr>
      <w:tabs>
        <w:tab w:val="clear" w:pos="340"/>
      </w:tabs>
    </w:pPr>
  </w:style>
  <w:style w:type="character" w:customStyle="1" w:styleId="WingdingSymbols">
    <w:name w:val="Wingding Symbols"/>
    <w:rsid w:val="00BC6A3D"/>
    <w:rPr>
      <w:rFonts w:ascii="Wingdings" w:hAnsi="Wingdings"/>
    </w:rPr>
  </w:style>
  <w:style w:type="paragraph" w:customStyle="1" w:styleId="TableHeading">
    <w:name w:val="Table Heading"/>
    <w:basedOn w:val="HeadingBase"/>
    <w:rsid w:val="00BC6A3D"/>
    <w:pPr>
      <w:keepLines/>
      <w:pBdr>
        <w:bottom w:val="single" w:sz="6" w:space="1" w:color="918585"/>
      </w:pBdr>
      <w:spacing w:before="240"/>
    </w:pPr>
  </w:style>
  <w:style w:type="character" w:customStyle="1" w:styleId="HotSpot">
    <w:name w:val="HotSpot"/>
    <w:rsid w:val="00BC6A3D"/>
    <w:rPr>
      <w:color w:val="0033CC"/>
      <w:u w:val="none"/>
    </w:rPr>
  </w:style>
  <w:style w:type="paragraph" w:customStyle="1" w:styleId="BodyTextRight">
    <w:name w:val="Body Text Right"/>
    <w:basedOn w:val="BodyText"/>
    <w:rsid w:val="00BC6A3D"/>
    <w:pPr>
      <w:spacing w:before="0" w:after="0"/>
      <w:jc w:val="right"/>
    </w:pPr>
  </w:style>
  <w:style w:type="paragraph" w:styleId="Index3">
    <w:name w:val="index 3"/>
    <w:basedOn w:val="ListNumber2"/>
    <w:next w:val="Normal"/>
    <w:semiHidden/>
    <w:rsid w:val="00BC6A3D"/>
    <w:pPr>
      <w:numPr>
        <w:numId w:val="0"/>
      </w:numPr>
      <w:tabs>
        <w:tab w:val="right" w:leader="dot" w:pos="4176"/>
      </w:tabs>
    </w:pPr>
  </w:style>
  <w:style w:type="paragraph" w:styleId="ListNumber2">
    <w:name w:val="List Number 2"/>
    <w:basedOn w:val="List2"/>
    <w:rsid w:val="00BC6A3D"/>
    <w:pPr>
      <w:numPr>
        <w:numId w:val="10"/>
      </w:numPr>
      <w:tabs>
        <w:tab w:val="clear" w:pos="1060"/>
      </w:tabs>
    </w:pPr>
  </w:style>
  <w:style w:type="paragraph" w:customStyle="1" w:styleId="MarginNote">
    <w:name w:val="Margin Note"/>
    <w:basedOn w:val="BodyText"/>
    <w:rsid w:val="00BC6A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A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A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6A3D"/>
    <w:rPr>
      <w:sz w:val="32"/>
    </w:rPr>
  </w:style>
  <w:style w:type="paragraph" w:customStyle="1" w:styleId="HeadingProcedure">
    <w:name w:val="Heading Procedure"/>
    <w:basedOn w:val="HeadingBase"/>
    <w:next w:val="Normal"/>
    <w:rsid w:val="00BC6A3D"/>
    <w:pPr>
      <w:tabs>
        <w:tab w:val="left" w:pos="0"/>
      </w:tabs>
      <w:spacing w:before="120" w:after="60"/>
    </w:pPr>
    <w:rPr>
      <w:i/>
      <w:color w:val="918585"/>
      <w:sz w:val="22"/>
    </w:rPr>
  </w:style>
  <w:style w:type="paragraph" w:customStyle="1" w:styleId="TableBodyText">
    <w:name w:val="Table Body Text"/>
    <w:basedOn w:val="BodyText"/>
    <w:rsid w:val="00BC6A3D"/>
    <w:pPr>
      <w:spacing w:before="60" w:after="60"/>
    </w:pPr>
  </w:style>
  <w:style w:type="paragraph" w:styleId="ListContinue">
    <w:name w:val="List Continue"/>
    <w:basedOn w:val="List"/>
    <w:rsid w:val="00BC6A3D"/>
    <w:pPr>
      <w:ind w:firstLine="0"/>
    </w:pPr>
  </w:style>
  <w:style w:type="paragraph" w:customStyle="1" w:styleId="ListNote">
    <w:name w:val="List Note"/>
    <w:basedOn w:val="List"/>
    <w:rsid w:val="00BC6A3D"/>
    <w:pPr>
      <w:pBdr>
        <w:top w:val="single" w:sz="6" w:space="2" w:color="918585"/>
        <w:bottom w:val="single" w:sz="6" w:space="2" w:color="918585"/>
      </w:pBdr>
      <w:tabs>
        <w:tab w:val="left" w:pos="1021"/>
      </w:tabs>
      <w:ind w:firstLine="0"/>
    </w:pPr>
  </w:style>
  <w:style w:type="paragraph" w:customStyle="1" w:styleId="Warning">
    <w:name w:val="Warning"/>
    <w:basedOn w:val="BodyText"/>
    <w:rsid w:val="00BC6A3D"/>
    <w:pPr>
      <w:shd w:val="clear" w:color="auto" w:fill="D9D9D9"/>
      <w:tabs>
        <w:tab w:val="left" w:pos="992"/>
      </w:tabs>
      <w:ind w:left="119" w:right="119"/>
    </w:pPr>
    <w:rPr>
      <w:sz w:val="20"/>
    </w:rPr>
  </w:style>
  <w:style w:type="paragraph" w:customStyle="1" w:styleId="MarginIcons">
    <w:name w:val="Margin Icons"/>
    <w:basedOn w:val="BodyText"/>
    <w:rsid w:val="00BC6A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A3D"/>
    <w:rPr>
      <w:rFonts w:ascii="Courier New" w:hAnsi="Courier New"/>
    </w:rPr>
  </w:style>
  <w:style w:type="paragraph" w:customStyle="1" w:styleId="NoteBullet">
    <w:name w:val="Note Bullet"/>
    <w:basedOn w:val="Note"/>
    <w:rsid w:val="00BC6A3D"/>
    <w:pPr>
      <w:tabs>
        <w:tab w:val="clear" w:pos="680"/>
      </w:tabs>
      <w:spacing w:before="60" w:after="60"/>
    </w:pPr>
  </w:style>
  <w:style w:type="paragraph" w:customStyle="1" w:styleId="SubHeading2">
    <w:name w:val="SubHeading2"/>
    <w:basedOn w:val="HeadingBase"/>
    <w:rsid w:val="00BC6A3D"/>
    <w:pPr>
      <w:spacing w:before="240" w:after="60"/>
    </w:pPr>
    <w:rPr>
      <w:sz w:val="20"/>
    </w:rPr>
  </w:style>
  <w:style w:type="paragraph" w:customStyle="1" w:styleId="SubHeading1">
    <w:name w:val="SubHeading1"/>
    <w:basedOn w:val="HeadingBase"/>
    <w:rsid w:val="00BC6A3D"/>
    <w:pPr>
      <w:spacing w:before="240" w:after="60"/>
    </w:pPr>
    <w:rPr>
      <w:color w:val="918585"/>
      <w:sz w:val="22"/>
    </w:rPr>
  </w:style>
  <w:style w:type="paragraph" w:customStyle="1" w:styleId="SideHeading">
    <w:name w:val="Side Heading"/>
    <w:basedOn w:val="HeadingBase"/>
    <w:rsid w:val="00BC6A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A3D"/>
    <w:pPr>
      <w:tabs>
        <w:tab w:val="num" w:pos="360"/>
      </w:tabs>
    </w:pPr>
  </w:style>
  <w:style w:type="paragraph" w:styleId="PlainText">
    <w:name w:val="Plain Text"/>
    <w:basedOn w:val="Normal"/>
    <w:link w:val="PlainTextChar"/>
    <w:rsid w:val="00BC6A3D"/>
    <w:rPr>
      <w:sz w:val="20"/>
    </w:rPr>
  </w:style>
  <w:style w:type="character" w:customStyle="1" w:styleId="PlainTextChar">
    <w:name w:val="Plain Text Char"/>
    <w:basedOn w:val="DefaultParagraphFont"/>
    <w:link w:val="PlainText"/>
    <w:rsid w:val="00BC6A3D"/>
    <w:rPr>
      <w:rFonts w:ascii="Courier New" w:eastAsia="Times New Roman" w:hAnsi="Courier New" w:cs="Times New Roman"/>
      <w:sz w:val="20"/>
      <w:szCs w:val="20"/>
      <w:lang w:eastAsia="en-US"/>
    </w:rPr>
  </w:style>
  <w:style w:type="character" w:customStyle="1" w:styleId="MenuOption">
    <w:name w:val="Menu Option"/>
    <w:basedOn w:val="DefaultParagraphFont"/>
    <w:rsid w:val="00BC6A3D"/>
    <w:rPr>
      <w:b/>
      <w:smallCaps/>
    </w:rPr>
  </w:style>
  <w:style w:type="paragraph" w:customStyle="1" w:styleId="TableListNumber">
    <w:name w:val="Table List Number"/>
    <w:basedOn w:val="ListNumber"/>
    <w:rsid w:val="00BC6A3D"/>
    <w:pPr>
      <w:numPr>
        <w:numId w:val="0"/>
      </w:numPr>
    </w:pPr>
  </w:style>
  <w:style w:type="paragraph" w:styleId="TOC4">
    <w:name w:val="toc 4"/>
    <w:basedOn w:val="TOCBase"/>
    <w:next w:val="Normal"/>
    <w:semiHidden/>
    <w:rsid w:val="00BC6A3D"/>
    <w:pPr>
      <w:tabs>
        <w:tab w:val="right" w:leader="dot" w:pos="9071"/>
      </w:tabs>
      <w:ind w:left="1701"/>
    </w:pPr>
  </w:style>
  <w:style w:type="paragraph" w:customStyle="1" w:styleId="ListAlpha">
    <w:name w:val="List Alpha"/>
    <w:basedOn w:val="List"/>
    <w:rsid w:val="00BC6A3D"/>
    <w:pPr>
      <w:numPr>
        <w:numId w:val="9"/>
      </w:numPr>
    </w:pPr>
  </w:style>
  <w:style w:type="paragraph" w:customStyle="1" w:styleId="ListAlpha2">
    <w:name w:val="List Alpha 2"/>
    <w:basedOn w:val="List2"/>
    <w:rsid w:val="00BC6A3D"/>
    <w:pPr>
      <w:numPr>
        <w:numId w:val="8"/>
      </w:numPr>
    </w:pPr>
  </w:style>
  <w:style w:type="paragraph" w:styleId="List2">
    <w:name w:val="List 2"/>
    <w:basedOn w:val="BodyText"/>
    <w:rsid w:val="00BC6A3D"/>
    <w:pPr>
      <w:tabs>
        <w:tab w:val="left" w:pos="680"/>
      </w:tabs>
      <w:spacing w:before="60" w:after="60"/>
      <w:ind w:left="680" w:hanging="340"/>
    </w:pPr>
  </w:style>
  <w:style w:type="paragraph" w:styleId="List3">
    <w:name w:val="List 3"/>
    <w:basedOn w:val="BodyText"/>
    <w:rsid w:val="00BC6A3D"/>
    <w:pPr>
      <w:tabs>
        <w:tab w:val="left" w:pos="1021"/>
      </w:tabs>
      <w:spacing w:before="60" w:after="60"/>
      <w:ind w:left="1020" w:hanging="340"/>
    </w:pPr>
  </w:style>
  <w:style w:type="paragraph" w:styleId="List4">
    <w:name w:val="List 4"/>
    <w:basedOn w:val="BodyText"/>
    <w:rsid w:val="00BC6A3D"/>
    <w:pPr>
      <w:tabs>
        <w:tab w:val="left" w:pos="1361"/>
      </w:tabs>
      <w:spacing w:before="60" w:after="60"/>
      <w:ind w:left="1361" w:hanging="340"/>
    </w:pPr>
  </w:style>
  <w:style w:type="paragraph" w:styleId="List5">
    <w:name w:val="List 5"/>
    <w:basedOn w:val="BodyText"/>
    <w:rsid w:val="00BC6A3D"/>
    <w:pPr>
      <w:tabs>
        <w:tab w:val="left" w:pos="1701"/>
      </w:tabs>
      <w:spacing w:before="60" w:after="60"/>
      <w:ind w:left="1701" w:hanging="340"/>
    </w:pPr>
  </w:style>
  <w:style w:type="paragraph" w:styleId="ListBullet3">
    <w:name w:val="List Bullet 3"/>
    <w:basedOn w:val="List3"/>
    <w:rsid w:val="00BC6A3D"/>
    <w:pPr>
      <w:numPr>
        <w:numId w:val="14"/>
      </w:numPr>
      <w:tabs>
        <w:tab w:val="clear" w:pos="1021"/>
      </w:tabs>
      <w:ind w:left="1037" w:hanging="357"/>
    </w:pPr>
  </w:style>
  <w:style w:type="paragraph" w:styleId="ListBullet4">
    <w:name w:val="List Bullet 4"/>
    <w:basedOn w:val="List4"/>
    <w:rsid w:val="00BC6A3D"/>
    <w:pPr>
      <w:numPr>
        <w:numId w:val="3"/>
      </w:numPr>
      <w:tabs>
        <w:tab w:val="clear" w:pos="1361"/>
      </w:tabs>
    </w:pPr>
  </w:style>
  <w:style w:type="paragraph" w:styleId="ListBullet5">
    <w:name w:val="List Bullet 5"/>
    <w:basedOn w:val="List5"/>
    <w:rsid w:val="00BC6A3D"/>
    <w:pPr>
      <w:numPr>
        <w:numId w:val="4"/>
      </w:numPr>
    </w:pPr>
  </w:style>
  <w:style w:type="paragraph" w:styleId="ListContinue2">
    <w:name w:val="List Continue 2"/>
    <w:basedOn w:val="List2"/>
    <w:rsid w:val="00BC6A3D"/>
    <w:pPr>
      <w:ind w:firstLine="0"/>
    </w:pPr>
  </w:style>
  <w:style w:type="paragraph" w:styleId="ListContinue3">
    <w:name w:val="List Continue 3"/>
    <w:basedOn w:val="List3"/>
    <w:rsid w:val="00BC6A3D"/>
    <w:pPr>
      <w:ind w:left="1021" w:firstLine="0"/>
    </w:pPr>
  </w:style>
  <w:style w:type="paragraph" w:styleId="ListContinue4">
    <w:name w:val="List Continue 4"/>
    <w:basedOn w:val="List4"/>
    <w:rsid w:val="00BC6A3D"/>
    <w:pPr>
      <w:ind w:firstLine="0"/>
    </w:pPr>
  </w:style>
  <w:style w:type="paragraph" w:styleId="ListContinue5">
    <w:name w:val="List Continue 5"/>
    <w:basedOn w:val="List5"/>
    <w:rsid w:val="00BC6A3D"/>
    <w:pPr>
      <w:ind w:firstLine="0"/>
    </w:pPr>
  </w:style>
  <w:style w:type="paragraph" w:styleId="ListNumber3">
    <w:name w:val="List Number 3"/>
    <w:basedOn w:val="List3"/>
    <w:rsid w:val="00BC6A3D"/>
    <w:pPr>
      <w:numPr>
        <w:numId w:val="5"/>
      </w:numPr>
    </w:pPr>
  </w:style>
  <w:style w:type="paragraph" w:styleId="ListNumber4">
    <w:name w:val="List Number 4"/>
    <w:basedOn w:val="List4"/>
    <w:rsid w:val="00BC6A3D"/>
    <w:pPr>
      <w:numPr>
        <w:numId w:val="6"/>
      </w:numPr>
    </w:pPr>
  </w:style>
  <w:style w:type="paragraph" w:styleId="ListNumber5">
    <w:name w:val="List Number 5"/>
    <w:basedOn w:val="List5"/>
    <w:rsid w:val="00BC6A3D"/>
    <w:pPr>
      <w:numPr>
        <w:numId w:val="7"/>
      </w:numPr>
    </w:pPr>
  </w:style>
  <w:style w:type="paragraph" w:styleId="BlockText">
    <w:name w:val="Block Text"/>
    <w:basedOn w:val="Normal"/>
    <w:rsid w:val="00BC6A3D"/>
    <w:pPr>
      <w:spacing w:after="120"/>
      <w:ind w:left="1440" w:right="1440"/>
    </w:pPr>
  </w:style>
  <w:style w:type="character" w:customStyle="1" w:styleId="Subscript">
    <w:name w:val="Subscript"/>
    <w:basedOn w:val="DefaultParagraphFont"/>
    <w:rsid w:val="00BC6A3D"/>
    <w:rPr>
      <w:sz w:val="16"/>
      <w:vertAlign w:val="subscript"/>
    </w:rPr>
  </w:style>
  <w:style w:type="character" w:customStyle="1" w:styleId="Superscript">
    <w:name w:val="Superscript"/>
    <w:basedOn w:val="DefaultParagraphFont"/>
    <w:rsid w:val="00BC6A3D"/>
    <w:rPr>
      <w:sz w:val="16"/>
      <w:vertAlign w:val="superscript"/>
    </w:rPr>
  </w:style>
  <w:style w:type="character" w:customStyle="1" w:styleId="Symbols">
    <w:name w:val="Symbols"/>
    <w:basedOn w:val="DefaultParagraphFont"/>
    <w:rsid w:val="00BC6A3D"/>
    <w:rPr>
      <w:rFonts w:ascii="Symbol" w:hAnsi="Symbol"/>
    </w:rPr>
  </w:style>
  <w:style w:type="character" w:customStyle="1" w:styleId="MenuOptions">
    <w:name w:val="Menu Options"/>
    <w:basedOn w:val="DefaultParagraphFont"/>
    <w:rsid w:val="00BC6A3D"/>
    <w:rPr>
      <w:rFonts w:ascii="Arial Narrow" w:hAnsi="Arial Narrow"/>
      <w:smallCaps/>
    </w:rPr>
  </w:style>
  <w:style w:type="character" w:customStyle="1" w:styleId="Buttons">
    <w:name w:val="Buttons"/>
    <w:basedOn w:val="DefaultParagraphFont"/>
    <w:rsid w:val="00BC6A3D"/>
    <w:rPr>
      <w:b/>
    </w:rPr>
  </w:style>
  <w:style w:type="character" w:customStyle="1" w:styleId="Underlined">
    <w:name w:val="Underlined"/>
    <w:basedOn w:val="DefaultParagraphFont"/>
    <w:rsid w:val="00BC6A3D"/>
    <w:rPr>
      <w:u w:val="single"/>
    </w:rPr>
  </w:style>
  <w:style w:type="paragraph" w:customStyle="1" w:styleId="TableBodyTextRight">
    <w:name w:val="Table Body Text Right"/>
    <w:basedOn w:val="TableBodyText"/>
    <w:rsid w:val="00BC6A3D"/>
    <w:pPr>
      <w:widowControl w:val="0"/>
      <w:autoSpaceDE w:val="0"/>
      <w:autoSpaceDN w:val="0"/>
      <w:adjustRightInd w:val="0"/>
      <w:jc w:val="right"/>
    </w:pPr>
    <w:rPr>
      <w:rFonts w:cs="Arial"/>
      <w:szCs w:val="18"/>
    </w:rPr>
  </w:style>
  <w:style w:type="paragraph" w:customStyle="1" w:styleId="CopyrightText">
    <w:name w:val="Copyright Text"/>
    <w:basedOn w:val="BodyText"/>
    <w:rsid w:val="00BC6A3D"/>
    <w:rPr>
      <w:sz w:val="18"/>
    </w:rPr>
  </w:style>
  <w:style w:type="paragraph" w:customStyle="1" w:styleId="BodySmallRight">
    <w:name w:val="Body Small Right"/>
    <w:basedOn w:val="BodyTextRight"/>
    <w:rsid w:val="00BC6A3D"/>
    <w:rPr>
      <w:sz w:val="18"/>
      <w:szCs w:val="18"/>
    </w:rPr>
  </w:style>
  <w:style w:type="paragraph" w:customStyle="1" w:styleId="MarginEdition">
    <w:name w:val="Margin Edition"/>
    <w:basedOn w:val="MarginNote"/>
    <w:rsid w:val="00BC6A3D"/>
    <w:pPr>
      <w:spacing w:before="0" w:after="0"/>
    </w:pPr>
    <w:rPr>
      <w:rFonts w:ascii="Times New Roman" w:hAnsi="Times New Roman"/>
      <w:color w:val="999999"/>
    </w:rPr>
  </w:style>
  <w:style w:type="paragraph" w:customStyle="1" w:styleId="Spacer">
    <w:name w:val="Spacer"/>
    <w:basedOn w:val="Normal"/>
    <w:rsid w:val="00BC6A3D"/>
    <w:rPr>
      <w:sz w:val="2"/>
      <w:szCs w:val="2"/>
    </w:rPr>
  </w:style>
  <w:style w:type="character" w:customStyle="1" w:styleId="Small">
    <w:name w:val="Small"/>
    <w:basedOn w:val="DefaultParagraphFont"/>
    <w:rsid w:val="00BC6A3D"/>
    <w:rPr>
      <w:sz w:val="16"/>
    </w:rPr>
  </w:style>
  <w:style w:type="paragraph" w:customStyle="1" w:styleId="WideTable">
    <w:name w:val="Wide Table"/>
    <w:basedOn w:val="Normal"/>
    <w:rsid w:val="00BC6A3D"/>
    <w:pPr>
      <w:ind w:left="-1418"/>
    </w:pPr>
    <w:rPr>
      <w:sz w:val="2"/>
      <w:szCs w:val="2"/>
    </w:rPr>
  </w:style>
  <w:style w:type="character" w:styleId="PageNumber">
    <w:name w:val="page number"/>
    <w:basedOn w:val="DefaultParagraphFont"/>
    <w:rsid w:val="00BC6A3D"/>
  </w:style>
  <w:style w:type="paragraph" w:styleId="Quote">
    <w:name w:val="Quote"/>
    <w:basedOn w:val="Heading1"/>
    <w:link w:val="QuoteChar"/>
    <w:qFormat/>
    <w:rsid w:val="00BC6A3D"/>
    <w:rPr>
      <w:b w:val="0"/>
      <w:sz w:val="72"/>
      <w:szCs w:val="72"/>
      <w:lang w:val="en-NZ"/>
    </w:rPr>
  </w:style>
  <w:style w:type="character" w:customStyle="1" w:styleId="QuoteChar">
    <w:name w:val="Quote Char"/>
    <w:basedOn w:val="DefaultParagraphFont"/>
    <w:link w:val="Quote"/>
    <w:rsid w:val="00BC6A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A3D"/>
    <w:pPr>
      <w:pageBreakBefore/>
    </w:pPr>
  </w:style>
  <w:style w:type="paragraph" w:customStyle="1" w:styleId="Border">
    <w:name w:val="Border"/>
    <w:basedOn w:val="Normal"/>
    <w:qFormat/>
    <w:rsid w:val="00BC6A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A3D"/>
    <w:rPr>
      <w:b/>
      <w:bCs/>
      <w:i/>
      <w:iCs/>
      <w:color w:val="auto"/>
    </w:rPr>
  </w:style>
  <w:style w:type="paragraph" w:styleId="IntenseQuote">
    <w:name w:val="Intense Quote"/>
    <w:basedOn w:val="Normal"/>
    <w:next w:val="Normal"/>
    <w:link w:val="IntenseQuoteChar"/>
    <w:uiPriority w:val="30"/>
    <w:qFormat/>
    <w:rsid w:val="00BC6A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A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6A3D"/>
    <w:rPr>
      <w:smallCaps/>
      <w:color w:val="auto"/>
      <w:u w:val="single"/>
    </w:rPr>
  </w:style>
  <w:style w:type="character" w:styleId="IntenseReference">
    <w:name w:val="Intense Reference"/>
    <w:basedOn w:val="DefaultParagraphFont"/>
    <w:uiPriority w:val="32"/>
    <w:qFormat/>
    <w:rsid w:val="00BC6A3D"/>
    <w:rPr>
      <w:b/>
      <w:bCs/>
      <w:smallCaps/>
      <w:color w:val="auto"/>
      <w:spacing w:val="5"/>
      <w:u w:val="single"/>
    </w:rPr>
  </w:style>
  <w:style w:type="paragraph" w:customStyle="1" w:styleId="2ColumnHeading">
    <w:name w:val="2Column Heading"/>
    <w:basedOn w:val="BodyText"/>
    <w:qFormat/>
    <w:rsid w:val="00BC6A3D"/>
    <w:pPr>
      <w:spacing w:after="60"/>
      <w:ind w:left="-2268"/>
    </w:pPr>
    <w:rPr>
      <w:b/>
    </w:rPr>
  </w:style>
  <w:style w:type="paragraph" w:customStyle="1" w:styleId="Heading1TOC">
    <w:name w:val="Heading1 TOC"/>
    <w:basedOn w:val="Normal"/>
    <w:qFormat/>
    <w:rsid w:val="00BC6A3D"/>
    <w:pPr>
      <w:spacing w:before="240" w:after="120"/>
    </w:pPr>
    <w:rPr>
      <w:rFonts w:ascii="Times New Roman" w:hAnsi="Times New Roman"/>
      <w:b/>
      <w:sz w:val="32"/>
    </w:rPr>
  </w:style>
  <w:style w:type="paragraph" w:customStyle="1" w:styleId="Heading2TOC">
    <w:name w:val="Heading2 TOC"/>
    <w:basedOn w:val="Normal"/>
    <w:qFormat/>
    <w:rsid w:val="00BC6A3D"/>
    <w:pPr>
      <w:spacing w:before="240" w:after="60"/>
    </w:pPr>
    <w:rPr>
      <w:rFonts w:ascii="Times New Roman" w:hAnsi="Times New Roman"/>
      <w:b/>
      <w:sz w:val="28"/>
    </w:rPr>
  </w:style>
  <w:style w:type="character" w:customStyle="1" w:styleId="Underline">
    <w:name w:val="Underline"/>
    <w:basedOn w:val="DefaultParagraphFont"/>
    <w:qFormat/>
    <w:rsid w:val="00BC6A3D"/>
    <w:rPr>
      <w:u w:val="single"/>
    </w:rPr>
  </w:style>
  <w:style w:type="character" w:customStyle="1" w:styleId="BoldandItalics">
    <w:name w:val="Bold and Italics"/>
    <w:qFormat/>
    <w:rsid w:val="00BC6A3D"/>
    <w:rPr>
      <w:b/>
      <w:i/>
      <w:u w:val="none"/>
    </w:rPr>
  </w:style>
  <w:style w:type="paragraph" w:styleId="BalloonText">
    <w:name w:val="Balloon Text"/>
    <w:basedOn w:val="Normal"/>
    <w:link w:val="BalloonTextChar"/>
    <w:rsid w:val="00BC6A3D"/>
    <w:rPr>
      <w:rFonts w:ascii="Tahoma" w:hAnsi="Tahoma" w:cs="Tahoma"/>
      <w:sz w:val="16"/>
      <w:szCs w:val="16"/>
    </w:rPr>
  </w:style>
  <w:style w:type="character" w:customStyle="1" w:styleId="BalloonTextChar">
    <w:name w:val="Balloon Text Char"/>
    <w:basedOn w:val="DefaultParagraphFont"/>
    <w:link w:val="BalloonText"/>
    <w:rsid w:val="00BC6A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6A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6A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6A3D"/>
    <w:rPr>
      <w:b/>
      <w:color w:val="660033"/>
      <w:spacing w:val="0"/>
    </w:rPr>
  </w:style>
  <w:style w:type="paragraph" w:customStyle="1" w:styleId="Nameditemlist">
    <w:name w:val="Named item list"/>
    <w:basedOn w:val="BodyText"/>
    <w:qFormat/>
    <w:rsid w:val="00BC6A3D"/>
    <w:pPr>
      <w:tabs>
        <w:tab w:val="left" w:pos="2835"/>
      </w:tabs>
      <w:ind w:left="2835" w:hanging="2835"/>
    </w:pPr>
  </w:style>
  <w:style w:type="paragraph" w:customStyle="1" w:styleId="BodyTextnopadding">
    <w:name w:val="Body Text no padding"/>
    <w:basedOn w:val="BodyText"/>
    <w:qFormat/>
    <w:rsid w:val="00BC6A3D"/>
    <w:pPr>
      <w:spacing w:before="0" w:after="0"/>
    </w:pPr>
  </w:style>
  <w:style w:type="paragraph" w:customStyle="1" w:styleId="BodyTextBold">
    <w:name w:val="Body Text Bold"/>
    <w:basedOn w:val="BodyText"/>
    <w:qFormat/>
    <w:rsid w:val="00BC6A3D"/>
    <w:rPr>
      <w:b/>
    </w:rPr>
  </w:style>
  <w:style w:type="character" w:styleId="Hyperlink">
    <w:name w:val="Hyperlink"/>
    <w:basedOn w:val="DefaultParagraphFont"/>
    <w:uiPriority w:val="99"/>
    <w:unhideWhenUsed/>
    <w:rsid w:val="00C450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5968</Characters>
  <Application>Microsoft Office Word</Application>
  <DocSecurity>0</DocSecurity>
  <Lines>238</Lines>
  <Paragraphs>120</Paragraphs>
  <ScaleCrop>false</ScaleCrop>
  <Company>Author-it Software Corporation Ltd.</Company>
  <LinksUpToDate>false</LinksUpToDate>
  <CharactersWithSpaces>6736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MEM10022 Commission and decommission high and low voltage equipment or installations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2023-02-03T06:59:00Z</dcterms:created>
  <dcterms:modified xsi:type="dcterms:W3CDTF">2023-02-03T06:59:00Z</dcterms:modified>
</cp:coreProperties>
</file>