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4C5" w:rsidP="003D24C5">
      <w:pPr>
        <w:pStyle w:val="Title"/>
      </w:pPr>
      <w:r>
        <w:fldChar w:fldCharType="begin"/>
      </w:r>
      <w:r>
        <w:instrText xml:space="preserve"> TITLE   \* MERGEFORMAT </w:instrText>
      </w:r>
      <w:r>
        <w:fldChar w:fldCharType="separate"/>
      </w:r>
      <w:r>
        <w:t>MEM10022 Commission and decommission high and low voltage equipment or installations</w:t>
      </w:r>
      <w:r>
        <w:fldChar w:fldCharType="end"/>
      </w:r>
    </w:p>
    <w:p w:rsidR="003D24C5" w:rsidP="003D24C5">
      <w:pPr>
        <w:pStyle w:val="Version"/>
        <w:sectPr w:rsidSect="000401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0118" w:rsidP="00040118">
      <w:pPr>
        <w:pStyle w:val="SuperHeading"/>
      </w:pPr>
      <w:r w:rsidRPr="00040118">
        <w:t>MEM10022 Commission and decommission high and low voltage equipment or installations</w:t>
      </w:r>
    </w:p>
    <w:p w:rsidR="00000000" w:rsidRPr="00040118" w:rsidP="00040118">
      <w:pPr>
        <w:pStyle w:val="Heading1"/>
      </w:pPr>
      <w:bookmarkStart w:id="1" w:name="O_924487"/>
      <w:bookmarkEnd w:id="1"/>
      <w:r w:rsidRPr="00040118">
        <w:t>Modification History</w:t>
      </w:r>
    </w:p>
    <w:p w:rsidR="00000000" w:rsidRPr="00040118" w:rsidP="003D24C5">
      <w:pPr>
        <w:pStyle w:val="BodyText"/>
      </w:pPr>
      <w:r w:rsidRPr="00040118">
        <w:t>Release 2. Minor adjustments to reflect ERAC requirements for electrician licensing and revision of Essential Performance Capabilities.</w:t>
      </w:r>
    </w:p>
    <w:p w:rsidR="00000000" w:rsidRPr="00040118" w:rsidP="003D24C5">
      <w:pPr>
        <w:pStyle w:val="BodyText"/>
      </w:pPr>
      <w:r w:rsidRPr="00040118">
        <w:t>Release 1. New unit</w:t>
      </w:r>
    </w:p>
    <w:p w:rsidR="00000000" w:rsidRPr="00040118" w:rsidP="00040118">
      <w:pPr>
        <w:pStyle w:val="Heading1"/>
      </w:pPr>
      <w:bookmarkStart w:id="2" w:name="O_924486"/>
      <w:bookmarkEnd w:id="2"/>
      <w:r w:rsidRPr="00040118">
        <w:t>Application</w:t>
      </w:r>
    </w:p>
    <w:p w:rsidR="00000000" w:rsidRPr="00040118" w:rsidP="003D24C5">
      <w:pPr>
        <w:pStyle w:val="BodyText"/>
      </w:pPr>
      <w:r w:rsidRPr="00040118">
        <w:t>This unit of competency has been developed for Engineering Tradesperson</w:t>
      </w:r>
      <w:r w:rsidRPr="00040118">
        <w:t xml:space="preserve"> –industrial electrician apprenticeship training and the recognition of trade-level skills in switching, isolating, commissioning and decommissioning high voltage and low voltage electrical equipment or installations and seeking appropriate assistance.</w:t>
      </w:r>
    </w:p>
    <w:p w:rsidR="00000000" w:rsidRPr="00040118" w:rsidP="003D24C5">
      <w:pPr>
        <w:pStyle w:val="BodyText"/>
      </w:pPr>
      <w:r w:rsidRPr="00040118">
        <w:t xml:space="preserve">It </w:t>
      </w:r>
      <w:r w:rsidRPr="00040118">
        <w:t>covers the knowledge of isolating and earthing arrangements, permit requirements for switching high voltage, appropriate assistance where required, commissioning and decommissioning procedures and safety measures.</w:t>
      </w:r>
    </w:p>
    <w:p w:rsidR="00000000" w:rsidRPr="00040118" w:rsidP="003D24C5">
      <w:pPr>
        <w:pStyle w:val="BodyText"/>
      </w:pPr>
      <w:r w:rsidRPr="00040118">
        <w:t xml:space="preserve">This unit covers the skills and knowledge </w:t>
      </w:r>
      <w:r w:rsidRPr="00040118">
        <w:t>required to meet the Electrical Regulatory Authorities Council (ERAC).</w:t>
      </w:r>
    </w:p>
    <w:p w:rsidR="00000000" w:rsidRPr="00040118" w:rsidP="003D24C5">
      <w:pPr>
        <w:pStyle w:val="BodyText"/>
      </w:pPr>
      <w:r w:rsidRPr="00040118">
        <w:t>Essential Performance Capabilities (EPCs):</w:t>
      </w:r>
    </w:p>
    <w:p w:rsidR="00000000" w:rsidRPr="00040118" w:rsidP="00040118">
      <w:pPr>
        <w:pStyle w:val="ListBullet"/>
      </w:pPr>
      <w:r w:rsidRPr="00040118">
        <w:t>EPC 29 – Knowledge of the AS/NZS 3000 requirements for safety services and issues relevant to HV installations. Standards referenced for elec</w:t>
      </w:r>
      <w:r w:rsidRPr="00040118">
        <w:t>trical installations related to transportable structures and vehicles, shows and carnivals, patient areas, marinas and boats, and construction/demolition sites.</w:t>
      </w:r>
    </w:p>
    <w:p w:rsidR="00000000" w:rsidRPr="00040118" w:rsidP="00040118">
      <w:pPr>
        <w:pStyle w:val="ListBullet"/>
      </w:pPr>
      <w:r w:rsidRPr="00040118">
        <w:t>EPC 49 – Describe the types of potential operational situations that may be encountered in vari</w:t>
      </w:r>
      <w:r w:rsidRPr="00040118">
        <w:t>ous areas of industry and the type of assistance that may be needed from more experienced industry personnel.</w:t>
      </w:r>
    </w:p>
    <w:p w:rsidR="00000000" w:rsidRPr="00040118" w:rsidP="003D24C5">
      <w:pPr>
        <w:pStyle w:val="Heading3"/>
      </w:pPr>
      <w:r w:rsidRPr="00040118">
        <w:t>And</w:t>
      </w:r>
    </w:p>
    <w:p w:rsidR="00000000" w:rsidRPr="00040118" w:rsidP="003D24C5">
      <w:pPr>
        <w:pStyle w:val="BodyText"/>
      </w:pPr>
      <w:r w:rsidRPr="00040118">
        <w:t>Essential Performance Capability (EPC) classified as ‘critical’:</w:t>
      </w:r>
    </w:p>
    <w:p w:rsidR="00000000" w:rsidRPr="00040118" w:rsidP="00040118">
      <w:pPr>
        <w:pStyle w:val="ListBullet"/>
      </w:pPr>
      <w:r w:rsidRPr="00040118">
        <w:t>EPC 50 – Describe the methods of commissioning and/or decommissioning electr</w:t>
      </w:r>
      <w:r w:rsidRPr="00040118">
        <w:t>ical equipment or an installation, using a systems approach.</w:t>
      </w:r>
    </w:p>
    <w:p w:rsidR="00000000" w:rsidRPr="00040118" w:rsidP="003D24C5">
      <w:pPr>
        <w:pStyle w:val="BodyText"/>
      </w:pPr>
      <w:r w:rsidRPr="00040118">
        <w:t>Some jurisdictions require the holder of this unit to be licensed or certified and users should check with the relevant authorities.</w:t>
      </w:r>
    </w:p>
    <w:p w:rsidR="00000000" w:rsidRPr="00040118" w:rsidP="00040118">
      <w:pPr>
        <w:pStyle w:val="BodyText"/>
      </w:pPr>
      <w:r w:rsidRPr="00040118">
        <w:rPr>
          <w:rStyle w:val="SpecialBold"/>
        </w:rPr>
        <w:t>Band:</w:t>
      </w:r>
      <w:r w:rsidRPr="00040118">
        <w:rPr>
          <w:rStyle w:val="SpecialBold"/>
        </w:rPr>
        <w:tab/>
        <w:t>A</w:t>
      </w:r>
    </w:p>
    <w:p w:rsidR="00000000" w:rsidRPr="00040118" w:rsidP="00040118">
      <w:pPr>
        <w:pStyle w:val="BodyText"/>
      </w:pPr>
      <w:r w:rsidRPr="00040118">
        <w:rPr>
          <w:rStyle w:val="SpecialBold"/>
        </w:rPr>
        <w:t>Unit Weight:</w:t>
      </w:r>
      <w:r w:rsidRPr="00040118">
        <w:rPr>
          <w:rStyle w:val="SpecialBold"/>
        </w:rPr>
        <w:tab/>
        <w:t>2</w:t>
      </w:r>
    </w:p>
    <w:p w:rsidR="00000000" w:rsidRPr="00040118" w:rsidP="00040118">
      <w:pPr>
        <w:pStyle w:val="AllowPageBreak"/>
      </w:pPr>
    </w:p>
    <w:p w:rsidR="00000000" w:rsidRPr="00040118" w:rsidP="00040118">
      <w:pPr>
        <w:pStyle w:val="Heading1"/>
      </w:pPr>
      <w:bookmarkStart w:id="3" w:name="O_924485"/>
      <w:bookmarkEnd w:id="3"/>
      <w:r w:rsidRPr="00040118">
        <w:t>Pre-requisite Unit</w:t>
      </w:r>
    </w:p>
    <w:p w:rsidR="00000000" w:rsidRPr="00040118" w:rsidP="003D24C5">
      <w:pPr>
        <w:pStyle w:val="BodyText"/>
      </w:pPr>
      <w:r w:rsidRPr="00040118">
        <w:t>Nil</w:t>
      </w:r>
    </w:p>
    <w:p w:rsidR="00000000" w:rsidRPr="00040118" w:rsidP="00040118">
      <w:pPr>
        <w:pStyle w:val="Heading1"/>
      </w:pPr>
      <w:bookmarkStart w:id="4" w:name="O_924484"/>
      <w:bookmarkEnd w:id="4"/>
      <w:r w:rsidRPr="00040118">
        <w:t>Competency Field</w:t>
      </w:r>
    </w:p>
    <w:p w:rsidR="00000000" w:rsidRPr="00040118" w:rsidP="003D24C5">
      <w:pPr>
        <w:pStyle w:val="BodyText"/>
      </w:pPr>
      <w:r w:rsidRPr="00040118">
        <w:t>Installation and commissioning</w:t>
      </w:r>
    </w:p>
    <w:p w:rsidR="00000000" w:rsidRPr="00040118" w:rsidP="00040118">
      <w:pPr>
        <w:pStyle w:val="Heading1"/>
      </w:pPr>
      <w:bookmarkStart w:id="5" w:name="O_924483"/>
      <w:bookmarkEnd w:id="5"/>
      <w:r w:rsidRPr="00040118">
        <w:t>Unit Sector</w:t>
      </w:r>
    </w:p>
    <w:p w:rsidR="00000000" w:rsidRPr="00040118" w:rsidP="00040118">
      <w:pPr>
        <w:pStyle w:val="Heading1"/>
      </w:pPr>
      <w:bookmarkStart w:id="6" w:name="O_924482"/>
      <w:bookmarkEnd w:id="6"/>
      <w:r w:rsidRPr="00040118">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04011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 xml:space="preserve">Performance criteria describe the performance needed to demonstrate </w:t>
            </w:r>
            <w:r w:rsidRPr="00040118">
              <w:t xml:space="preserve">achievement of the element. </w:t>
            </w:r>
          </w:p>
        </w:tc>
      </w:tr>
      <w:tr w:rsidTr="0004011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1.</w:t>
            </w:r>
          </w:p>
        </w:tc>
        <w:tc>
          <w:tcPr>
            <w:tcW w:w="2100" w:type="dxa"/>
            <w:vMerge w:val="restart"/>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Determine job requirements</w:t>
            </w: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1.1.</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Follow standard operating procedures (SOPs)</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1.2.</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Comply with work health and safety (WHS) requirements at all times, including appropriate risk control measures</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1.3.</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Use appropriate personal protective equipment (PPE) in accordance with SOPs</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1.4.</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Consult and obtain approval from authorised personnel the need to commission or decommission electrical equipment or installation</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1.5.</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Analyse and confirm commissioning, switching and work schedules, including drawings, plans and regulatory requirements</w:t>
            </w:r>
          </w:p>
        </w:tc>
      </w:tr>
      <w:tr w:rsidTr="000401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0118">
            <w:pPr>
              <w:pStyle w:val="BodyText"/>
              <w:rPr>
                <w:lang w:val="en-NZ"/>
              </w:rPr>
            </w:pPr>
          </w:p>
        </w:tc>
      </w:tr>
      <w:tr w:rsidTr="0004011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2.</w:t>
            </w:r>
          </w:p>
        </w:tc>
        <w:tc>
          <w:tcPr>
            <w:tcW w:w="2100" w:type="dxa"/>
            <w:vMerge w:val="restart"/>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Prepare to commission or decommission electrical equipment or installation</w:t>
            </w: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2.1.</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Inspect or confirm suitability and safety of ele</w:t>
            </w:r>
            <w:r w:rsidRPr="00040118">
              <w:t>ctrical equipment or installation site for required commissioning or decommissioning</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2.2.</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Identify and obtain WHS policies and procedures related to the requirements for commissioning or decommissioning electrical equipment or installation</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2.3.</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 xml:space="preserve">Obtain necessary tools, equipment and testing devices needed for commissioning or decommissioning electrical equipment or installation </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2.4.</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Brief others participating in or affected by the work on commissioning or decommissioning of electrical equipmen</w:t>
            </w:r>
            <w:r w:rsidRPr="00040118">
              <w:t>t or installation</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2.5.</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 xml:space="preserve">Prepare the site according to the work schedule to minimise risk, disruption and damage to property, </w:t>
            </w:r>
            <w:r w:rsidRPr="00040118">
              <w:t>operations and individuals</w:t>
            </w:r>
          </w:p>
        </w:tc>
      </w:tr>
      <w:tr w:rsidTr="000401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0118">
            <w:pPr>
              <w:pStyle w:val="BodyText"/>
              <w:rPr>
                <w:lang w:val="en-NZ"/>
              </w:rPr>
            </w:pPr>
          </w:p>
        </w:tc>
      </w:tr>
      <w:tr w:rsidTr="0004011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3.</w:t>
            </w:r>
          </w:p>
        </w:tc>
        <w:tc>
          <w:tcPr>
            <w:tcW w:w="2100" w:type="dxa"/>
            <w:vMerge w:val="restart"/>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Commission or decommission electrical equipment or installation</w:t>
            </w: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3.1.</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Commission electrical equipment or installation using a systems approach, including the use of appropriate test equipment, in accordance with the approved commissioning schedule</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3.2.</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Verify that the performance of the installed equipment/installation through a series of tests is consistent with the customer requirements/specified design intent</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3.3.</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Capture and record performance data of the whole installation as the baseline for fut</w:t>
            </w:r>
            <w:r w:rsidRPr="00040118">
              <w:t>ure operation and maintenance</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3.4.</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Decommission electrical equipment or installation using an approved decommissioning schedule, including the use of appropriate test equipment, according to requirements and established procedures</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3.5.</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Shut down and isolate sequentially electrical equipment or installation in preparation for repair or maintenance work using safe working practices</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3.6.</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Deal safely with unexpected situations during the isolation process, including, where required, the a</w:t>
            </w:r>
            <w:r w:rsidRPr="00040118">
              <w:t>pproval of an authorised person</w:t>
            </w:r>
          </w:p>
        </w:tc>
      </w:tr>
      <w:tr w:rsidTr="000401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0118">
            <w:pPr>
              <w:pStyle w:val="BodyText"/>
              <w:rPr>
                <w:lang w:val="en-NZ"/>
              </w:rPr>
            </w:pPr>
          </w:p>
        </w:tc>
      </w:tr>
      <w:tr w:rsidTr="0004011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4.</w:t>
            </w:r>
          </w:p>
        </w:tc>
        <w:tc>
          <w:tcPr>
            <w:tcW w:w="2100" w:type="dxa"/>
            <w:vMerge w:val="restart"/>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Complete commission or decommission electrical equipment or installation</w:t>
            </w: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4.1.</w:t>
            </w:r>
          </w:p>
        </w:tc>
        <w:tc>
          <w:tcPr>
            <w:tcW w:w="561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Check work undertaken against work schedules for conformance with requirements and report anomalies in accordance with established procedures</w:t>
            </w:r>
          </w:p>
        </w:tc>
      </w:tr>
      <w:tr w:rsidTr="0004011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4.2.</w:t>
            </w:r>
          </w:p>
        </w:tc>
        <w:tc>
          <w:tcPr>
            <w:tcW w:w="5610" w:type="dxa"/>
            <w:tcBorders>
              <w:top w:val="nil"/>
              <w:left w:val="nil"/>
              <w:bottom w:val="nil"/>
              <w:right w:val="nil"/>
            </w:tcBorders>
            <w:tcMar>
              <w:top w:w="0" w:type="dxa"/>
              <w:left w:w="62" w:type="dxa"/>
              <w:bottom w:w="0" w:type="dxa"/>
              <w:right w:w="62" w:type="dxa"/>
            </w:tcMar>
          </w:tcPr>
          <w:p w:rsidR="00000000" w:rsidRPr="00040118" w:rsidP="00040118">
            <w:pPr>
              <w:pStyle w:val="BodyText"/>
            </w:pPr>
            <w:r w:rsidRPr="00040118">
              <w:t>Document completion of commissioning or decommissioning of electrical equipment or installation in accorda</w:t>
            </w:r>
            <w:r w:rsidRPr="00040118">
              <w:t>nce with established procedures</w:t>
            </w:r>
          </w:p>
        </w:tc>
      </w:tr>
    </w:tbl>
    <w:p w:rsidR="00000000" w:rsidRPr="00040118" w:rsidP="00040118">
      <w:pPr>
        <w:pStyle w:val="BodyText"/>
      </w:pPr>
    </w:p>
    <w:p w:rsidR="00000000" w:rsidRPr="00040118" w:rsidP="00040118">
      <w:pPr>
        <w:pStyle w:val="AllowPageBreak"/>
      </w:pPr>
    </w:p>
    <w:p w:rsidR="00000000" w:rsidRPr="00040118" w:rsidP="00040118">
      <w:pPr>
        <w:pStyle w:val="Heading1"/>
      </w:pPr>
      <w:bookmarkStart w:id="7" w:name="O_924481"/>
      <w:bookmarkEnd w:id="7"/>
      <w:r w:rsidRPr="00040118">
        <w:t>Foundation Skills</w:t>
      </w:r>
    </w:p>
    <w:p w:rsidR="00000000" w:rsidRPr="00040118" w:rsidP="003D24C5">
      <w:pPr>
        <w:pStyle w:val="BodyText"/>
      </w:pPr>
      <w:r w:rsidRPr="00040118">
        <w:t>This section describes those required skills (reading, writing, oral communication and numeracy) that are essential to workplace performance in this unit of competency.</w:t>
      </w:r>
    </w:p>
    <w:p w:rsidR="00000000" w:rsidRPr="00040118" w:rsidP="003D24C5">
      <w:pPr>
        <w:pStyle w:val="BodyText"/>
      </w:pPr>
      <w:r w:rsidRPr="00040118">
        <w:t>Foundation skills essential to performance are explicit in the performance criteria of this unit of competency.</w:t>
      </w:r>
    </w:p>
    <w:p w:rsidR="00000000" w:rsidRPr="00040118" w:rsidP="00040118">
      <w:pPr>
        <w:pStyle w:val="Heading1"/>
      </w:pPr>
      <w:bookmarkStart w:id="8" w:name="O_924480"/>
      <w:bookmarkEnd w:id="8"/>
      <w:r w:rsidRPr="00040118">
        <w:t>Range of Conditions</w:t>
      </w:r>
    </w:p>
    <w:tbl>
      <w:tblPr>
        <w:tblW w:w="9286" w:type="dxa"/>
        <w:tblLayout w:type="fixed"/>
        <w:tblCellMar>
          <w:left w:w="62" w:type="dxa"/>
          <w:right w:w="62" w:type="dxa"/>
        </w:tblCellMar>
        <w:tblLook w:val="0000"/>
      </w:tblPr>
      <w:tblGrid>
        <w:gridCol w:w="2759"/>
        <w:gridCol w:w="6527"/>
      </w:tblGrid>
      <w:tr w:rsidTr="00040118">
        <w:tblPrEx>
          <w:tblW w:w="9286" w:type="dxa"/>
          <w:tblLayout w:type="fixed"/>
          <w:tblCellMar>
            <w:left w:w="62" w:type="dxa"/>
            <w:right w:w="62" w:type="dxa"/>
          </w:tblCellMar>
          <w:tblLook w:val="0000"/>
        </w:tblPrEx>
        <w:tc>
          <w:tcPr>
            <w:tcW w:w="9286" w:type="dxa"/>
            <w:gridSpan w:val="2"/>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t>This field allows for different work environments and conditions that may affect performance. Essential ope</w:t>
            </w:r>
            <w:r w:rsidRPr="00040118">
              <w:t>rating conditions that may be present (depending on the work situation, needs of the candidate, accessibility of the item, and local industry and regional contexts) are included.</w:t>
            </w:r>
          </w:p>
        </w:tc>
      </w:tr>
      <w:tr w:rsidTr="0004011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rPr>
                <w:rStyle w:val="SpecialBold"/>
              </w:rPr>
              <w:t>Electrical equipment and installations include:</w:t>
            </w:r>
          </w:p>
        </w:tc>
        <w:tc>
          <w:tcPr>
            <w:tcW w:w="6527" w:type="dxa"/>
            <w:tcBorders>
              <w:top w:val="nil"/>
              <w:left w:val="nil"/>
              <w:bottom w:val="nil"/>
              <w:right w:val="nil"/>
            </w:tcBorders>
            <w:tcMar>
              <w:top w:w="0" w:type="dxa"/>
              <w:left w:w="62" w:type="dxa"/>
              <w:bottom w:w="0" w:type="dxa"/>
              <w:right w:w="62" w:type="dxa"/>
            </w:tcMar>
          </w:tcPr>
          <w:p w:rsidR="00000000" w:rsidRPr="00040118" w:rsidP="00040118">
            <w:pPr>
              <w:pStyle w:val="ListBullet"/>
            </w:pPr>
            <w:r w:rsidRPr="00040118">
              <w:t>new, replaced, or extensiv</w:t>
            </w:r>
            <w:r w:rsidRPr="00040118">
              <w:t>ely modified equipment or installation in one or more of the following industrial environments:</w:t>
            </w:r>
          </w:p>
          <w:p w:rsidR="00000000" w:rsidRPr="00040118" w:rsidP="00040118">
            <w:pPr>
              <w:pStyle w:val="ListBullet2"/>
            </w:pPr>
            <w:r w:rsidRPr="00040118">
              <w:t>factory</w:t>
            </w:r>
          </w:p>
          <w:p w:rsidR="00000000" w:rsidRPr="00040118" w:rsidP="00040118">
            <w:pPr>
              <w:pStyle w:val="ListBullet2"/>
            </w:pPr>
            <w:r w:rsidRPr="00040118">
              <w:t>building</w:t>
            </w:r>
          </w:p>
          <w:p w:rsidR="00000000" w:rsidRPr="00040118" w:rsidP="00040118">
            <w:pPr>
              <w:pStyle w:val="ListBullet2"/>
            </w:pPr>
            <w:r w:rsidRPr="00040118">
              <w:t>off shore platform</w:t>
            </w:r>
          </w:p>
          <w:p w:rsidR="00000000" w:rsidRPr="00040118" w:rsidP="00040118">
            <w:pPr>
              <w:pStyle w:val="ListBullet2"/>
            </w:pPr>
            <w:r w:rsidRPr="00040118">
              <w:t>mine site processing</w:t>
            </w:r>
          </w:p>
          <w:p w:rsidR="00000000" w:rsidRPr="00040118" w:rsidP="00040118">
            <w:pPr>
              <w:pStyle w:val="ListBullet2"/>
            </w:pPr>
            <w:r w:rsidRPr="00040118">
              <w:t>oil and gas installation</w:t>
            </w:r>
          </w:p>
          <w:p w:rsidR="00000000" w:rsidRPr="00040118" w:rsidP="00040118">
            <w:pPr>
              <w:pStyle w:val="ListBullet2"/>
            </w:pPr>
            <w:r w:rsidRPr="00040118">
              <w:t>processing plant</w:t>
            </w:r>
          </w:p>
          <w:p w:rsidR="00000000" w:rsidRPr="00040118" w:rsidP="00040118">
            <w:pPr>
              <w:pStyle w:val="ListBullet2"/>
            </w:pPr>
            <w:r w:rsidRPr="00040118">
              <w:t>workshop</w:t>
            </w:r>
          </w:p>
          <w:p w:rsidR="00000000" w:rsidP="00040118">
            <w:pPr>
              <w:pStyle w:val="ListBullet2"/>
              <w:rPr>
                <w:lang w:val="en-NZ"/>
              </w:rPr>
            </w:pPr>
            <w:r w:rsidRPr="00040118">
              <w:t>underground installation</w:t>
            </w:r>
          </w:p>
        </w:tc>
      </w:tr>
      <w:tr w:rsidTr="0004011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rPr>
                <w:rStyle w:val="SpecialBold"/>
              </w:rPr>
              <w:t>Test equipment includes one or more of the following:</w:t>
            </w:r>
          </w:p>
        </w:tc>
        <w:tc>
          <w:tcPr>
            <w:tcW w:w="6527" w:type="dxa"/>
            <w:tcBorders>
              <w:top w:val="nil"/>
              <w:left w:val="nil"/>
              <w:bottom w:val="nil"/>
              <w:right w:val="nil"/>
            </w:tcBorders>
            <w:tcMar>
              <w:top w:w="0" w:type="dxa"/>
              <w:left w:w="62" w:type="dxa"/>
              <w:bottom w:w="0" w:type="dxa"/>
              <w:right w:w="62" w:type="dxa"/>
            </w:tcMar>
          </w:tcPr>
          <w:p w:rsidR="00000000" w:rsidRPr="00040118" w:rsidP="00040118">
            <w:pPr>
              <w:pStyle w:val="ListBullet"/>
            </w:pPr>
            <w:r w:rsidRPr="00040118">
              <w:t>multimeters</w:t>
            </w:r>
          </w:p>
          <w:p w:rsidR="00000000" w:rsidRPr="00040118" w:rsidP="00040118">
            <w:pPr>
              <w:pStyle w:val="ListBullet"/>
            </w:pPr>
            <w:r w:rsidRPr="00040118">
              <w:t xml:space="preserve">ammeters </w:t>
            </w:r>
          </w:p>
          <w:p w:rsidR="00000000" w:rsidRPr="00040118" w:rsidP="00040118">
            <w:pPr>
              <w:pStyle w:val="ListBullet"/>
            </w:pPr>
            <w:r w:rsidRPr="00040118">
              <w:t>tong testers</w:t>
            </w:r>
          </w:p>
          <w:p w:rsidR="00000000" w:rsidRPr="00040118" w:rsidP="00040118">
            <w:pPr>
              <w:pStyle w:val="ListBullet"/>
            </w:pPr>
            <w:r w:rsidRPr="00040118">
              <w:t xml:space="preserve">voltmeters </w:t>
            </w:r>
          </w:p>
          <w:p w:rsidR="00000000" w:rsidRPr="00040118" w:rsidP="00040118">
            <w:pPr>
              <w:pStyle w:val="ListBullet"/>
            </w:pPr>
            <w:r w:rsidRPr="00040118">
              <w:t>continuity testers</w:t>
            </w:r>
          </w:p>
          <w:p w:rsidR="00000000" w:rsidRPr="00040118" w:rsidP="00040118">
            <w:pPr>
              <w:pStyle w:val="ListBullet"/>
            </w:pPr>
            <w:r w:rsidRPr="00040118">
              <w:t>insulation resistance testers</w:t>
            </w:r>
          </w:p>
          <w:p w:rsidR="00000000" w:rsidRPr="00040118" w:rsidP="00040118">
            <w:pPr>
              <w:pStyle w:val="ListBullet"/>
            </w:pPr>
            <w:r w:rsidRPr="00040118">
              <w:t>appropriate proving dead meters</w:t>
            </w:r>
          </w:p>
          <w:p w:rsidR="00000000" w:rsidP="00040118">
            <w:pPr>
              <w:pStyle w:val="ListBullet"/>
              <w:rPr>
                <w:lang w:val="en-NZ"/>
              </w:rPr>
            </w:pPr>
            <w:r w:rsidRPr="00040118">
              <w:t>high potential testers</w:t>
            </w:r>
          </w:p>
        </w:tc>
      </w:tr>
      <w:tr w:rsidTr="0004011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rPr>
                <w:rStyle w:val="SpecialBold"/>
              </w:rPr>
              <w:t>Regulatory requirements include:</w:t>
            </w:r>
          </w:p>
        </w:tc>
        <w:tc>
          <w:tcPr>
            <w:tcW w:w="6527" w:type="dxa"/>
            <w:tcBorders>
              <w:top w:val="nil"/>
              <w:left w:val="nil"/>
              <w:bottom w:val="nil"/>
              <w:right w:val="nil"/>
            </w:tcBorders>
            <w:tcMar>
              <w:top w:w="0" w:type="dxa"/>
              <w:left w:w="62" w:type="dxa"/>
              <w:bottom w:w="0" w:type="dxa"/>
              <w:right w:w="62" w:type="dxa"/>
            </w:tcMar>
          </w:tcPr>
          <w:p w:rsidR="00000000" w:rsidP="00040118">
            <w:pPr>
              <w:pStyle w:val="ListBullet"/>
              <w:rPr>
                <w:lang w:val="en-NZ"/>
              </w:rPr>
            </w:pPr>
            <w:r w:rsidRPr="00040118">
              <w:t>AS/NZS 3000:200</w:t>
            </w:r>
            <w:r w:rsidRPr="00040118">
              <w:t>7 Electrical Installations (known as the Australian/New Zealand Wiring Rules)</w:t>
            </w:r>
          </w:p>
        </w:tc>
      </w:tr>
      <w:tr w:rsidTr="0004011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40118">
            <w:pPr>
              <w:pStyle w:val="BodyText"/>
              <w:rPr>
                <w:lang w:val="en-NZ"/>
              </w:rPr>
            </w:pPr>
            <w:r w:rsidRPr="00040118">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040118" w:rsidP="00040118">
            <w:pPr>
              <w:pStyle w:val="ListBullet"/>
            </w:pPr>
            <w:r w:rsidRPr="00040118">
              <w:t xml:space="preserve">demonstration of safe working practices and installation in accordance with industry established safe and sound practices </w:t>
            </w:r>
          </w:p>
        </w:tc>
      </w:tr>
    </w:tbl>
    <w:p w:rsidR="00000000" w:rsidRPr="00040118" w:rsidP="00040118">
      <w:pPr>
        <w:pStyle w:val="BodyText"/>
      </w:pPr>
    </w:p>
    <w:p w:rsidR="00000000" w:rsidRPr="00040118" w:rsidP="00040118">
      <w:pPr>
        <w:pStyle w:val="AllowPageBreak"/>
      </w:pPr>
    </w:p>
    <w:p w:rsidR="00000000" w:rsidRPr="00040118" w:rsidP="00040118">
      <w:pPr>
        <w:pStyle w:val="Heading1"/>
      </w:pPr>
      <w:bookmarkStart w:id="9" w:name="O_924479"/>
      <w:bookmarkEnd w:id="9"/>
      <w:r w:rsidRPr="00040118">
        <w:t>Unit Mapping Information</w:t>
      </w:r>
    </w:p>
    <w:p w:rsidR="00000000" w:rsidRPr="00040118" w:rsidP="003D24C5">
      <w:pPr>
        <w:pStyle w:val="BodyText"/>
      </w:pPr>
      <w:r w:rsidRPr="00040118">
        <w:t>Release 2. Equivalent. Minor adjustments to reflect ERAC requirements for electrician licensing and revision of Essential Performance Capabilities.</w:t>
      </w:r>
    </w:p>
    <w:p w:rsidR="00000000" w:rsidRPr="00040118" w:rsidP="00040118">
      <w:pPr>
        <w:pStyle w:val="Heading1"/>
      </w:pPr>
      <w:bookmarkStart w:id="10" w:name="O_924488"/>
      <w:bookmarkEnd w:id="10"/>
      <w:r w:rsidRPr="00040118">
        <w:t>Links</w:t>
      </w:r>
    </w:p>
    <w:p w:rsidR="00000000" w:rsidRPr="00040118" w:rsidP="003D24C5">
      <w:pPr>
        <w:pStyle w:val="BodyText"/>
      </w:pPr>
      <w:r w:rsidRPr="00040118">
        <w:t>Companion Volume implementation guides are found in VETNet -</w:t>
      </w:r>
      <w:r w:rsidRPr="00040118">
        <w:t xml:space="preserve"> </w:t>
      </w:r>
      <w:r>
        <w:fldChar w:fldCharType="begin"/>
      </w:r>
      <w:r>
        <w:instrText xml:space="preserve"> HYPERLINK "https://vetnet.gov.au/Pages/TrainingDocs.aspx?q=b7050d37-5fd0-4740-8f7d-3b7a49c10bb2" </w:instrText>
      </w:r>
      <w:r>
        <w:fldChar w:fldCharType="separate"/>
      </w:r>
      <w:r w:rsidRPr="004C4980">
        <w:rPr>
          <w:rStyle w:val="Hyperlink"/>
        </w:rPr>
        <w:t>https://vetnet.gov.au/Pages/TrainingDocs.aspx?q=b7050d37-5fd0-4740-8f7d-3b7a49c10bb2</w:t>
      </w:r>
      <w:r>
        <w:fldChar w:fldCharType="end"/>
      </w:r>
    </w:p>
    <w:p w:rsidR="00000000" w:rsidRPr="00040118" w:rsidP="003D24C5">
      <w:pPr>
        <w:pStyle w:val="BodyText"/>
        <w:sectPr w:rsidSect="00040118">
          <w:headerReference w:type="default" r:id="rId10"/>
          <w:footerReference w:type="default" r:id="rId11"/>
          <w:pgSz w:w="11908" w:h="16833"/>
          <w:pgMar w:top="1702" w:right="1418" w:bottom="1702" w:left="1418" w:header="992" w:footer="992" w:gutter="0"/>
          <w:cols w:space="720"/>
          <w:noEndnote/>
          <w:docGrid w:linePitch="299"/>
        </w:sectPr>
      </w:pPr>
    </w:p>
    <w:p w:rsidR="00000000" w:rsidRPr="00040118" w:rsidP="00040118">
      <w:pPr>
        <w:pStyle w:val="SuperHeading"/>
      </w:pPr>
      <w:r w:rsidRPr="00040118">
        <w:t>Assessment Requirements for MEM10022 Commission and decommission high and low voltage equipment or installations</w:t>
      </w:r>
    </w:p>
    <w:p w:rsidR="00000000" w:rsidRPr="00040118" w:rsidP="00040118">
      <w:pPr>
        <w:pStyle w:val="Heading1"/>
      </w:pPr>
      <w:bookmarkStart w:id="11" w:name="O_924477"/>
      <w:bookmarkEnd w:id="11"/>
      <w:r w:rsidRPr="00040118">
        <w:t>Modification History</w:t>
      </w:r>
    </w:p>
    <w:p w:rsidR="00000000" w:rsidRPr="00040118" w:rsidP="003D24C5">
      <w:pPr>
        <w:pStyle w:val="BodyText"/>
      </w:pPr>
      <w:r w:rsidRPr="00040118">
        <w:t>Release 2. Minor adjustments to reflect ERAC requirements for electrician licensing and revision of Essential Performance Capabilities</w:t>
      </w:r>
    </w:p>
    <w:p w:rsidR="00000000" w:rsidRPr="00040118" w:rsidP="003D24C5">
      <w:pPr>
        <w:pStyle w:val="BodyText"/>
      </w:pPr>
      <w:r w:rsidRPr="00040118">
        <w:t>Release 1. New unit</w:t>
      </w:r>
    </w:p>
    <w:p w:rsidR="00000000" w:rsidRPr="00040118" w:rsidP="00040118">
      <w:pPr>
        <w:pStyle w:val="Heading1"/>
      </w:pPr>
      <w:bookmarkStart w:id="12" w:name="O_924476"/>
      <w:bookmarkEnd w:id="12"/>
      <w:r w:rsidRPr="00040118">
        <w:t>Performance Evidence</w:t>
      </w:r>
    </w:p>
    <w:p w:rsidR="00000000" w:rsidRPr="00040118" w:rsidP="003D24C5">
      <w:pPr>
        <w:pStyle w:val="BodyText"/>
      </w:pPr>
      <w:r w:rsidRPr="00040118">
        <w:t>Evidence required to demonstrate c</w:t>
      </w:r>
      <w:r w:rsidRPr="00040118">
        <w:t>ompetence in this unit must be relevant to and satisfy the requirements of the elements and performance criteria on at least two (2) occasions and include:</w:t>
      </w:r>
    </w:p>
    <w:p w:rsidR="00000000" w:rsidRPr="00040118" w:rsidP="00040118">
      <w:pPr>
        <w:pStyle w:val="ListBullet"/>
      </w:pPr>
      <w:r w:rsidRPr="00040118">
        <w:t xml:space="preserve">following work instructions, standard operating procedures (SOPs) and safe work practices </w:t>
      </w:r>
    </w:p>
    <w:p w:rsidR="00000000" w:rsidRPr="00040118" w:rsidP="00040118">
      <w:pPr>
        <w:pStyle w:val="ListBullet"/>
      </w:pPr>
      <w:r w:rsidRPr="00040118">
        <w:t>identify</w:t>
      </w:r>
      <w:r w:rsidRPr="00040118">
        <w:t>ing and interpreting circuits, drawings, specifications, commissioning, decommissioning switching schedules and instructions relevant to the work to be undertaken</w:t>
      </w:r>
    </w:p>
    <w:p w:rsidR="00000000" w:rsidRPr="00040118" w:rsidP="00040118">
      <w:pPr>
        <w:pStyle w:val="ListBullet"/>
      </w:pPr>
      <w:r w:rsidRPr="00040118">
        <w:t>preparing and following work plans associated with commissioning and decommissioning electric</w:t>
      </w:r>
      <w:r w:rsidRPr="00040118">
        <w:t>al equipment or installation in accordance with legislative and regulatory requirements, hazard and safety requirements</w:t>
      </w:r>
    </w:p>
    <w:p w:rsidR="00000000" w:rsidRPr="00040118" w:rsidP="00040118">
      <w:pPr>
        <w:pStyle w:val="ListBullet"/>
      </w:pPr>
      <w:r w:rsidRPr="00040118">
        <w:t>complying with the Australian/New Zealand Wiring Rules and regulatory requirements for high voltage and low voltage electrical equipment</w:t>
      </w:r>
      <w:r w:rsidRPr="00040118">
        <w:t xml:space="preserve"> and installations</w:t>
      </w:r>
    </w:p>
    <w:p w:rsidR="00000000" w:rsidRPr="00040118" w:rsidP="00040118">
      <w:pPr>
        <w:pStyle w:val="ListBullet"/>
      </w:pPr>
      <w:r w:rsidRPr="00040118">
        <w:t>selecting the appropriate measuring and testing devices</w:t>
      </w:r>
    </w:p>
    <w:p w:rsidR="00000000" w:rsidRPr="00040118" w:rsidP="00040118">
      <w:pPr>
        <w:pStyle w:val="ListBullet"/>
      </w:pPr>
      <w:r w:rsidRPr="00040118">
        <w:t>conducting briefing sessions to all personnel participating in or affected by the work</w:t>
      </w:r>
    </w:p>
    <w:p w:rsidR="00000000" w:rsidRPr="00040118" w:rsidP="00040118">
      <w:pPr>
        <w:pStyle w:val="ListBullet"/>
      </w:pPr>
      <w:r w:rsidRPr="00040118">
        <w:t>preparing the site, including signage, barriers and warning devices</w:t>
      </w:r>
    </w:p>
    <w:p w:rsidR="00000000" w:rsidRPr="00040118" w:rsidP="00040118">
      <w:pPr>
        <w:pStyle w:val="ListBullet"/>
      </w:pPr>
      <w:r w:rsidRPr="00040118">
        <w:t>commissioning electrical e</w:t>
      </w:r>
      <w:r w:rsidRPr="00040118">
        <w:t>quipment or installation using a systems approach</w:t>
      </w:r>
    </w:p>
    <w:p w:rsidR="00000000" w:rsidRPr="00040118" w:rsidP="00040118">
      <w:pPr>
        <w:pStyle w:val="ListBullet"/>
      </w:pPr>
      <w:r w:rsidRPr="00040118">
        <w:t>verifying the performance of the installed equipment/system to meet the design requirements through a series of tests/measurements</w:t>
      </w:r>
    </w:p>
    <w:p w:rsidR="00000000" w:rsidRPr="00040118" w:rsidP="00040118">
      <w:pPr>
        <w:pStyle w:val="ListBullet"/>
      </w:pPr>
      <w:r w:rsidRPr="00040118">
        <w:t>making adjustments, where necessary, to ensure conformance with the specifi</w:t>
      </w:r>
      <w:r w:rsidRPr="00040118">
        <w:t>ed design intent</w:t>
      </w:r>
    </w:p>
    <w:p w:rsidR="00000000" w:rsidRPr="00040118" w:rsidP="00040118">
      <w:pPr>
        <w:pStyle w:val="ListBullet"/>
      </w:pPr>
      <w:r w:rsidRPr="00040118">
        <w:t>capturing and recording performance data of the whole installation as the baseline for future operation and maintenance</w:t>
      </w:r>
    </w:p>
    <w:p w:rsidR="00000000" w:rsidRPr="00040118" w:rsidP="00040118">
      <w:pPr>
        <w:pStyle w:val="ListBullet"/>
      </w:pPr>
      <w:r w:rsidRPr="00040118">
        <w:t>decommissioning electrical equipment or installation</w:t>
      </w:r>
    </w:p>
    <w:p w:rsidR="00000000" w:rsidRPr="00040118" w:rsidP="00040118">
      <w:pPr>
        <w:pStyle w:val="ListBullet"/>
      </w:pPr>
      <w:r w:rsidRPr="00040118">
        <w:t>shutting down and isolating electrical equipment sequentially in preparation for maintenance or repair using lock out and tag procedures and safe working practices</w:t>
      </w:r>
    </w:p>
    <w:p w:rsidR="00000000" w:rsidRPr="00040118" w:rsidP="00040118">
      <w:pPr>
        <w:pStyle w:val="ListBullet"/>
      </w:pPr>
      <w:r w:rsidRPr="00040118">
        <w:t>seeking assistance from authorised personnel for site specific commissioning and decommissio</w:t>
      </w:r>
      <w:r w:rsidRPr="00040118">
        <w:t>ning of electrical equipment and installations including the need for high voltage switching</w:t>
      </w:r>
    </w:p>
    <w:p w:rsidR="00000000" w:rsidRPr="00040118" w:rsidP="00040118">
      <w:pPr>
        <w:pStyle w:val="ListBullet"/>
      </w:pPr>
      <w:r w:rsidRPr="00040118">
        <w:t>documenting completion of commissioning/decommissioning process in accordance with SOPs.</w:t>
      </w:r>
    </w:p>
    <w:p w:rsidR="00000000" w:rsidRPr="00040118" w:rsidP="00040118">
      <w:pPr>
        <w:pStyle w:val="AllowPageBreak"/>
      </w:pPr>
    </w:p>
    <w:p w:rsidR="00000000" w:rsidRPr="00040118" w:rsidP="00040118">
      <w:pPr>
        <w:pStyle w:val="Heading1"/>
      </w:pPr>
      <w:bookmarkStart w:id="13" w:name="O_924475"/>
      <w:bookmarkEnd w:id="13"/>
      <w:r w:rsidRPr="00040118">
        <w:t>Knowledge Evidence</w:t>
      </w:r>
    </w:p>
    <w:p w:rsidR="00000000" w:rsidRPr="00040118" w:rsidP="003D24C5">
      <w:pPr>
        <w:pStyle w:val="BodyText"/>
      </w:pPr>
      <w:r w:rsidRPr="00040118">
        <w:t>Evidence required to demonstrate the required knowledge for this unit must be relevant to and satisfy the requirements of the elements and performance criteria and include knowledge of:</w:t>
      </w:r>
    </w:p>
    <w:p w:rsidR="00000000" w:rsidRPr="00040118" w:rsidP="00040118">
      <w:pPr>
        <w:pStyle w:val="ListBullet"/>
      </w:pPr>
      <w:r w:rsidRPr="00040118">
        <w:t>safe work practices and procedures and use of personal protective equ</w:t>
      </w:r>
      <w:r w:rsidRPr="00040118">
        <w:t>ipment (PPE)</w:t>
      </w:r>
    </w:p>
    <w:p w:rsidR="00000000" w:rsidRPr="00040118" w:rsidP="00040118">
      <w:pPr>
        <w:pStyle w:val="ListBullet"/>
      </w:pPr>
      <w:r w:rsidRPr="00040118">
        <w:t>Australian/New Zealand Wiring Rules and regulatory requirements for high voltage and low voltage electrical installations</w:t>
      </w:r>
    </w:p>
    <w:p w:rsidR="00000000" w:rsidRPr="00040118" w:rsidP="00040118">
      <w:pPr>
        <w:pStyle w:val="ListBullet"/>
      </w:pPr>
      <w:r w:rsidRPr="00040118">
        <w:t>industry personnel to be consulted for advice on commissioning or decommissioning procedures</w:t>
      </w:r>
    </w:p>
    <w:p w:rsidR="00000000" w:rsidRPr="00040118" w:rsidP="00040118">
      <w:pPr>
        <w:pStyle w:val="ListBullet"/>
      </w:pPr>
      <w:r w:rsidRPr="00040118">
        <w:t>test and commissioning, incl</w:t>
      </w:r>
      <w:r w:rsidRPr="00040118">
        <w:t>uding:</w:t>
      </w:r>
    </w:p>
    <w:p w:rsidR="00000000" w:rsidRPr="00040118" w:rsidP="00040118">
      <w:pPr>
        <w:pStyle w:val="ListBullet2"/>
      </w:pPr>
      <w:r w:rsidRPr="00040118">
        <w:t>procedures required for a particular electrical equipment or installation</w:t>
      </w:r>
    </w:p>
    <w:p w:rsidR="00000000" w:rsidRPr="00040118" w:rsidP="00040118">
      <w:pPr>
        <w:pStyle w:val="ListBullet2"/>
      </w:pPr>
      <w:r w:rsidRPr="00040118">
        <w:t>objectives to be achieved, including:</w:t>
      </w:r>
    </w:p>
    <w:p w:rsidR="00000000" w:rsidRPr="00040118" w:rsidP="00040118">
      <w:pPr>
        <w:pStyle w:val="ListBullet3"/>
      </w:pPr>
      <w:r w:rsidRPr="00040118">
        <w:t>to verify proper functioning of the equipment/system after installation</w:t>
      </w:r>
    </w:p>
    <w:p w:rsidR="00000000" w:rsidRPr="00040118" w:rsidP="00040118">
      <w:pPr>
        <w:pStyle w:val="ListBullet3"/>
      </w:pPr>
      <w:r w:rsidRPr="00040118">
        <w:t>to verify that the performance of the installed equipment/systems meet with the specified design intent through a series of tests and adjustments</w:t>
      </w:r>
    </w:p>
    <w:p w:rsidR="00000000" w:rsidRPr="00040118" w:rsidP="00040118">
      <w:pPr>
        <w:pStyle w:val="ListBullet3"/>
      </w:pPr>
      <w:r w:rsidRPr="00040118">
        <w:t>to capture and record performance data of the whole installation as a baseline for future operation and mainte</w:t>
      </w:r>
      <w:r w:rsidRPr="00040118">
        <w:t>nance</w:t>
      </w:r>
    </w:p>
    <w:p w:rsidR="00000000" w:rsidRPr="00040118" w:rsidP="00040118">
      <w:pPr>
        <w:pStyle w:val="ListBullet2"/>
      </w:pPr>
      <w:r w:rsidRPr="00040118">
        <w:t>using a systems approach, including:</w:t>
      </w:r>
    </w:p>
    <w:p w:rsidR="00000000" w:rsidRPr="00040118" w:rsidP="00040118">
      <w:pPr>
        <w:pStyle w:val="ListBullet3"/>
      </w:pPr>
      <w:r w:rsidRPr="00040118">
        <w:t>performance tests appropriate to equipment/installation to be commissioned</w:t>
      </w:r>
    </w:p>
    <w:p w:rsidR="00000000" w:rsidRPr="00040118" w:rsidP="00040118">
      <w:pPr>
        <w:pStyle w:val="ListBullet3"/>
      </w:pPr>
      <w:r w:rsidRPr="00040118">
        <w:t>measurements required to ensure conformance to specifications</w:t>
      </w:r>
    </w:p>
    <w:p w:rsidR="00000000" w:rsidRPr="00040118" w:rsidP="00040118">
      <w:pPr>
        <w:pStyle w:val="ListBullet3"/>
      </w:pPr>
      <w:r w:rsidRPr="00040118">
        <w:t>adjustments to be made to meet specified design and operational requiremen</w:t>
      </w:r>
      <w:r w:rsidRPr="00040118">
        <w:t>ts</w:t>
      </w:r>
    </w:p>
    <w:p w:rsidR="00000000" w:rsidRPr="00040118" w:rsidP="00040118">
      <w:pPr>
        <w:pStyle w:val="ListBullet3"/>
      </w:pPr>
      <w:r w:rsidRPr="00040118">
        <w:t>the use of appropriate test equipment</w:t>
      </w:r>
    </w:p>
    <w:p w:rsidR="00000000" w:rsidRPr="00040118" w:rsidP="00040118">
      <w:pPr>
        <w:pStyle w:val="ListBullet"/>
      </w:pPr>
      <w:r w:rsidRPr="00040118">
        <w:t>decommissioning of electrical equipment or installation, including:</w:t>
      </w:r>
    </w:p>
    <w:p w:rsidR="00000000" w:rsidRPr="00040118" w:rsidP="00040118">
      <w:pPr>
        <w:pStyle w:val="ListBullet2"/>
      </w:pPr>
      <w:r w:rsidRPr="00040118">
        <w:t>procedures required for a particular electrical equipment or installation</w:t>
      </w:r>
    </w:p>
    <w:p w:rsidR="00000000" w:rsidRPr="00040118" w:rsidP="00040118">
      <w:pPr>
        <w:pStyle w:val="ListBullet2"/>
      </w:pPr>
      <w:r w:rsidRPr="00040118">
        <w:t>a working knowledge of the electrical equipment or installation in order to sequentially shut down and isolate for the purposes of repair and maintenance including using lock out and tag procedures to enable safe removal of equipment/conductors</w:t>
      </w:r>
    </w:p>
    <w:p w:rsidR="00000000" w:rsidRPr="00040118" w:rsidP="00040118">
      <w:pPr>
        <w:pStyle w:val="ListBullet2"/>
      </w:pPr>
      <w:r w:rsidRPr="00040118">
        <w:t>types of op</w:t>
      </w:r>
      <w:r w:rsidRPr="00040118">
        <w:t>erational forms, access authorities, permits and requirements associated with high voltage switching</w:t>
      </w:r>
    </w:p>
    <w:p w:rsidR="00000000" w:rsidRPr="00040118" w:rsidP="00040118">
      <w:pPr>
        <w:pStyle w:val="ListBullet"/>
      </w:pPr>
      <w:r w:rsidRPr="00040118">
        <w:t>reporting requirements relevant to the electrical equipment or installation being commissioned.</w:t>
      </w:r>
    </w:p>
    <w:p w:rsidR="00000000" w:rsidRPr="00040118" w:rsidP="00040118">
      <w:pPr>
        <w:pStyle w:val="AllowPageBreak"/>
      </w:pPr>
    </w:p>
    <w:p w:rsidR="00000000" w:rsidRPr="00040118" w:rsidP="00040118">
      <w:pPr>
        <w:pStyle w:val="Heading1"/>
      </w:pPr>
      <w:bookmarkStart w:id="14" w:name="O_924474"/>
      <w:bookmarkEnd w:id="14"/>
      <w:r w:rsidRPr="00040118">
        <w:t>Assessment Conditions</w:t>
      </w:r>
    </w:p>
    <w:p w:rsidR="00000000" w:rsidRPr="00040118" w:rsidP="00040118">
      <w:pPr>
        <w:pStyle w:val="ListBullet"/>
      </w:pPr>
      <w:r w:rsidRPr="00040118">
        <w:t>Assessors must:</w:t>
      </w:r>
    </w:p>
    <w:p w:rsidR="00000000" w:rsidRPr="00040118" w:rsidP="00040118">
      <w:pPr>
        <w:pStyle w:val="ListBullet2"/>
      </w:pPr>
      <w:r w:rsidRPr="00040118">
        <w:t>h</w:t>
      </w:r>
      <w:r w:rsidRPr="00040118">
        <w:t>ave vocational competency in commissioning and decommissioning high and low voltage equipment or installations at least to the level being assessed with relevant industry knowledge and experience</w:t>
      </w:r>
    </w:p>
    <w:p w:rsidR="00000000" w:rsidRPr="00040118" w:rsidP="00040118">
      <w:pPr>
        <w:pStyle w:val="ListBullet2"/>
      </w:pPr>
      <w:r w:rsidRPr="00040118">
        <w:t xml:space="preserve">satisfy the assessor requirements in the </w:t>
      </w:r>
      <w:r w:rsidRPr="00040118">
        <w:rPr>
          <w:rStyle w:val="Emphasis"/>
        </w:rPr>
        <w:t>Standards for Regis</w:t>
      </w:r>
      <w:r w:rsidRPr="00040118">
        <w:rPr>
          <w:rStyle w:val="Emphasis"/>
        </w:rPr>
        <w:t>tered Training Organisations 2015</w:t>
      </w:r>
      <w:r w:rsidRPr="00040118">
        <w:t xml:space="preserve"> and comply with the </w:t>
      </w:r>
      <w:r w:rsidRPr="00040118">
        <w:rPr>
          <w:rStyle w:val="Emphasis"/>
        </w:rPr>
        <w:t>National Vocational Education and Training Regulator Act 2011</w:t>
      </w:r>
      <w:r w:rsidRPr="00040118">
        <w:t xml:space="preserve"> or equivalent legislation covering VET regulation in a non-referring State as the case requires.</w:t>
      </w:r>
    </w:p>
    <w:p w:rsidR="00000000" w:rsidRPr="00040118" w:rsidP="00040118">
      <w:pPr>
        <w:pStyle w:val="ListBullet"/>
      </w:pPr>
      <w:r w:rsidRPr="00040118">
        <w:t>Where possible assessment must occur in op</w:t>
      </w:r>
      <w:r w:rsidRPr="00040118">
        <w:t>erational workplace situations. Where this is not possible or where personal safety or environmental damage are limiting factors, assessment must occur in a sufficiently rigorous simulated environment that reflects realistic operational workplace condition</w:t>
      </w:r>
      <w:r w:rsidRPr="00040118">
        <w:t>s. This must cover all aspects of workplace performance, including environment, task skills, task management skills, contingency management skills and job role environment skills.</w:t>
      </w:r>
    </w:p>
    <w:p w:rsidR="00000000" w:rsidRPr="00040118" w:rsidP="00040118">
      <w:pPr>
        <w:pStyle w:val="ListBullet"/>
      </w:pPr>
      <w:r w:rsidRPr="00040118">
        <w:t>Conditions for assessment must include access to all tools, equipment, mater</w:t>
      </w:r>
      <w:r w:rsidRPr="00040118">
        <w:t>ials and documentation required, including relevant workplace procedures, product and manufacturing specifications.</w:t>
      </w:r>
    </w:p>
    <w:p w:rsidR="00000000" w:rsidRPr="00040118" w:rsidP="00040118">
      <w:pPr>
        <w:pStyle w:val="ListBullet"/>
      </w:pPr>
      <w:r w:rsidRPr="00040118">
        <w:t xml:space="preserve">Assessment processes and techniques must be appropriate to the language, literacy and numeracy requirements of the work being performed and </w:t>
      </w:r>
      <w:r w:rsidRPr="00040118">
        <w:t>the needs of the candidate.</w:t>
      </w:r>
    </w:p>
    <w:p w:rsidR="00000000" w:rsidRPr="00040118" w:rsidP="00040118">
      <w:pPr>
        <w:pStyle w:val="AllowPageBreak"/>
      </w:pPr>
    </w:p>
    <w:p w:rsidR="00000000" w:rsidRPr="00040118" w:rsidP="00040118">
      <w:pPr>
        <w:pStyle w:val="Heading1"/>
      </w:pPr>
      <w:bookmarkStart w:id="15" w:name="O_924489"/>
      <w:bookmarkEnd w:id="15"/>
      <w:r w:rsidRPr="00040118">
        <w:t>Links</w:t>
      </w:r>
    </w:p>
    <w:p w:rsidR="00000000" w:rsidRPr="00040118" w:rsidP="003D24C5">
      <w:pPr>
        <w:pStyle w:val="BodyText"/>
      </w:pPr>
      <w:r w:rsidRPr="0004011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4980">
        <w:rPr>
          <w:rStyle w:val="Hyperlink"/>
        </w:rPr>
        <w:t>https://vetnet.gov.au/Pages/TrainingDocs.aspx?q=b7050d37-5fd0-4740-8f7d-3b7a49c10bb2</w:t>
      </w:r>
      <w:r>
        <w:fldChar w:fldCharType="end"/>
      </w:r>
    </w:p>
    <w:p w:rsidR="00000000" w:rsidRPr="00040118" w:rsidP="00040118"/>
    <w:sectPr w:rsidSect="000401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18" w:rsidRPr="003D24C5" w:rsidP="003D2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C5" w:rsidP="00040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24C5" w:rsidP="000401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24C5" w:rsidP="000401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18" w:rsidP="00040118">
    <w:pPr>
      <w:pStyle w:val="Footer"/>
      <w:framePr w:wrap="around"/>
    </w:pPr>
    <w:r>
      <w:fldChar w:fldCharType="begin"/>
    </w:r>
    <w:r>
      <w:instrText xml:space="preserve"> DOCPROPERTY  Subject  \* MERGEFORMAT </w:instrText>
    </w:r>
    <w:r>
      <w:fldChar w:fldCharType="separate"/>
    </w:r>
    <w:r w:rsidR="003D24C5">
      <w:t>Approved</w:t>
    </w:r>
    <w:r w:rsidR="003D24C5">
      <w:fldChar w:fldCharType="end"/>
    </w:r>
    <w:r>
      <w:tab/>
      <w:t xml:space="preserve">Page </w:t>
    </w:r>
    <w:r>
      <w:fldChar w:fldCharType="begin"/>
    </w:r>
    <w:r>
      <w:instrText xml:space="preserve"> PAGE  \* Arabic  \* MERGEFORMAT </w:instrText>
    </w:r>
    <w:r>
      <w:fldChar w:fldCharType="separate"/>
    </w:r>
    <w:r w:rsidR="003D24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24C5">
      <w:rPr>
        <w:noProof/>
      </w:rPr>
      <w:t>5</w:t>
    </w:r>
    <w:r>
      <w:rPr>
        <w:noProof/>
      </w:rPr>
      <w:fldChar w:fldCharType="end"/>
    </w:r>
  </w:p>
  <w:p w:rsidR="00040118" w:rsidP="00040118">
    <w:pPr>
      <w:pStyle w:val="Footer"/>
      <w:framePr w:wrap="around"/>
    </w:pPr>
    <w:r>
      <w:t xml:space="preserve">© Commonwealth of Australia, </w:t>
    </w:r>
    <w:r>
      <w:fldChar w:fldCharType="begin"/>
    </w:r>
    <w:r>
      <w:instrText xml:space="preserve"> DATE  \@ "yyyy"  \* MERGEFORMAT </w:instrText>
    </w:r>
    <w:r>
      <w:fldChar w:fldCharType="separate"/>
    </w:r>
    <w:r w:rsidR="003D24C5">
      <w:rPr>
        <w:noProof/>
      </w:rPr>
      <w:t>2025</w:t>
    </w:r>
    <w:r>
      <w:fldChar w:fldCharType="end"/>
    </w:r>
    <w:r>
      <w:tab/>
    </w:r>
    <w:r>
      <w:fldChar w:fldCharType="begin"/>
    </w:r>
    <w:r>
      <w:instrText xml:space="preserve"> DOCPROPERTY  Author  \* MERGEFORMAT </w:instrText>
    </w:r>
    <w:r>
      <w:fldChar w:fldCharType="separate"/>
    </w:r>
    <w:r w:rsidR="003D24C5">
      <w:t>Manufacturing Industry Skills Alliance</w:t>
    </w:r>
    <w:r w:rsidR="003D24C5">
      <w:fldChar w:fldCharType="end"/>
    </w:r>
  </w:p>
  <w:p w:rsidR="00040118" w:rsidP="000401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118" w:rsidRPr="003D24C5" w:rsidP="003D2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C5" w:rsidRPr="002D2AF8" w:rsidP="00040118">
    <w:pPr>
      <w:pStyle w:val="Header"/>
      <w:framePr w:wrap="around"/>
    </w:pPr>
    <w:r>
      <w:fldChar w:fldCharType="begin"/>
    </w:r>
    <w:r>
      <w:instrText xml:space="preserve"> TITLE   \* MERGEFORMAT </w:instrText>
    </w:r>
    <w:r>
      <w:fldChar w:fldCharType="separate"/>
    </w:r>
    <w:r>
      <w:t>MEM10022 Commission and decommission high and low voltage equipment or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24C5" w:rsidP="000401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118" w:rsidRPr="002D2AF8" w:rsidP="00040118">
    <w:pPr>
      <w:pStyle w:val="Header"/>
      <w:framePr w:wrap="around"/>
    </w:pPr>
    <w:r>
      <w:fldChar w:fldCharType="begin"/>
    </w:r>
    <w:r>
      <w:instrText xml:space="preserve"> TITLE   \* MERGEFORMAT </w:instrText>
    </w:r>
    <w:r>
      <w:fldChar w:fldCharType="separate"/>
    </w:r>
    <w:r w:rsidR="003D24C5">
      <w:t>MEM10022 Commission and decommission high and low voltage equipment or installations</w:t>
    </w:r>
    <w:r w:rsidR="003D24C5">
      <w:fldChar w:fldCharType="end"/>
    </w:r>
    <w:r>
      <w:tab/>
      <w:t xml:space="preserve">Date this document was generated: </w:t>
    </w:r>
    <w:r>
      <w:fldChar w:fldCharType="begin"/>
    </w:r>
    <w:r>
      <w:instrText xml:space="preserve"> CREATEDATE  \@ "d MMMM yyyy"  \* MERGEFORMAT </w:instrText>
    </w:r>
    <w:r>
      <w:fldChar w:fldCharType="separate"/>
    </w:r>
    <w:r w:rsidR="003D24C5">
      <w:rPr>
        <w:noProof/>
      </w:rPr>
      <w:t>2 March 2025</w:t>
    </w:r>
    <w:r>
      <w:fldChar w:fldCharType="end"/>
    </w:r>
  </w:p>
  <w:p w:rsidR="00040118" w:rsidP="00040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2B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0E3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441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118"/>
    <w:pPr>
      <w:spacing w:before="360" w:after="60"/>
      <w:outlineLvl w:val="0"/>
    </w:pPr>
    <w:rPr>
      <w:sz w:val="32"/>
    </w:rPr>
  </w:style>
  <w:style w:type="paragraph" w:styleId="Heading2">
    <w:name w:val="heading 2"/>
    <w:basedOn w:val="HeadingBase"/>
    <w:next w:val="BodyText"/>
    <w:link w:val="Heading2Char"/>
    <w:qFormat/>
    <w:rsid w:val="00040118"/>
    <w:pPr>
      <w:keepLines/>
      <w:spacing w:before="240" w:after="120"/>
      <w:outlineLvl w:val="1"/>
    </w:pPr>
    <w:rPr>
      <w:sz w:val="28"/>
      <w:szCs w:val="40"/>
    </w:rPr>
  </w:style>
  <w:style w:type="paragraph" w:styleId="Heading3">
    <w:name w:val="heading 3"/>
    <w:basedOn w:val="HeadingBase"/>
    <w:next w:val="BodyText"/>
    <w:link w:val="Heading3Char"/>
    <w:qFormat/>
    <w:rsid w:val="00040118"/>
    <w:pPr>
      <w:spacing w:before="180" w:after="120"/>
      <w:outlineLvl w:val="2"/>
    </w:pPr>
    <w:rPr>
      <w:spacing w:val="-10"/>
      <w:kern w:val="32"/>
    </w:rPr>
  </w:style>
  <w:style w:type="paragraph" w:styleId="Heading4">
    <w:name w:val="heading 4"/>
    <w:basedOn w:val="HeadingBase"/>
    <w:next w:val="BodyText"/>
    <w:link w:val="Heading4Char"/>
    <w:qFormat/>
    <w:rsid w:val="00040118"/>
    <w:pPr>
      <w:spacing w:before="160" w:after="120"/>
      <w:outlineLvl w:val="3"/>
    </w:pPr>
    <w:rPr>
      <w:sz w:val="22"/>
    </w:rPr>
  </w:style>
  <w:style w:type="paragraph" w:styleId="Heading5">
    <w:name w:val="heading 5"/>
    <w:basedOn w:val="HeadingBase"/>
    <w:next w:val="Normal"/>
    <w:link w:val="Heading5Char"/>
    <w:qFormat/>
    <w:rsid w:val="00040118"/>
    <w:pPr>
      <w:spacing w:before="80"/>
      <w:outlineLvl w:val="4"/>
    </w:pPr>
    <w:rPr>
      <w:color w:val="918585"/>
      <w:sz w:val="20"/>
    </w:rPr>
  </w:style>
  <w:style w:type="paragraph" w:styleId="Heading6">
    <w:name w:val="heading 6"/>
    <w:basedOn w:val="HeadingBase"/>
    <w:next w:val="Normal"/>
    <w:link w:val="Heading6Char"/>
    <w:qFormat/>
    <w:rsid w:val="00040118"/>
    <w:pPr>
      <w:spacing w:before="60"/>
      <w:outlineLvl w:val="5"/>
    </w:pPr>
    <w:rPr>
      <w:color w:val="918585"/>
      <w:sz w:val="20"/>
    </w:rPr>
  </w:style>
  <w:style w:type="paragraph" w:styleId="Heading7">
    <w:name w:val="heading 7"/>
    <w:basedOn w:val="Normal"/>
    <w:next w:val="Normal"/>
    <w:link w:val="Heading7Char"/>
    <w:qFormat/>
    <w:rsid w:val="00040118"/>
    <w:pPr>
      <w:ind w:left="720"/>
      <w:outlineLvl w:val="6"/>
    </w:pPr>
    <w:rPr>
      <w:i/>
    </w:rPr>
  </w:style>
  <w:style w:type="paragraph" w:styleId="Heading8">
    <w:name w:val="heading 8"/>
    <w:basedOn w:val="Normal"/>
    <w:next w:val="Normal"/>
    <w:link w:val="Heading8Char"/>
    <w:qFormat/>
    <w:rsid w:val="00040118"/>
    <w:pPr>
      <w:ind w:left="720"/>
      <w:outlineLvl w:val="7"/>
    </w:pPr>
    <w:rPr>
      <w:i/>
    </w:rPr>
  </w:style>
  <w:style w:type="paragraph" w:styleId="Heading9">
    <w:name w:val="heading 9"/>
    <w:basedOn w:val="Normal"/>
    <w:next w:val="Normal"/>
    <w:link w:val="Heading9Char"/>
    <w:qFormat/>
    <w:rsid w:val="00040118"/>
    <w:pPr>
      <w:ind w:left="720"/>
      <w:outlineLvl w:val="8"/>
    </w:pPr>
    <w:rPr>
      <w:i/>
    </w:rPr>
  </w:style>
  <w:style w:type="character" w:default="1" w:styleId="DefaultParagraphFont">
    <w:name w:val="Default Paragraph Font"/>
    <w:uiPriority w:val="1"/>
    <w:unhideWhenUsed/>
    <w:rsid w:val="00040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118"/>
  </w:style>
  <w:style w:type="character" w:customStyle="1" w:styleId="Heading1Char">
    <w:name w:val="Heading 1 Char"/>
    <w:basedOn w:val="DefaultParagraphFont"/>
    <w:link w:val="Heading1"/>
    <w:rsid w:val="00040118"/>
    <w:rPr>
      <w:rFonts w:ascii="Times New Roman" w:eastAsia="Times New Roman" w:hAnsi="Times New Roman" w:cs="Times New Roman"/>
      <w:b/>
      <w:sz w:val="32"/>
      <w:szCs w:val="20"/>
      <w:lang w:eastAsia="en-US"/>
    </w:rPr>
  </w:style>
  <w:style w:type="paragraph" w:styleId="BodyText">
    <w:name w:val="Body Text"/>
    <w:basedOn w:val="Normal"/>
    <w:link w:val="BodyTextChar"/>
    <w:rsid w:val="000401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118"/>
    <w:rPr>
      <w:rFonts w:ascii="Times New Roman" w:eastAsia="Times New Roman" w:hAnsi="Times New Roman" w:cs="Times New Roman"/>
      <w:sz w:val="24"/>
      <w:lang w:eastAsia="en-US"/>
    </w:rPr>
  </w:style>
  <w:style w:type="paragraph" w:styleId="ListBullet">
    <w:name w:val="List Bullet"/>
    <w:basedOn w:val="List"/>
    <w:rsid w:val="00040118"/>
    <w:pPr>
      <w:numPr>
        <w:numId w:val="13"/>
      </w:numPr>
      <w:tabs>
        <w:tab w:val="clear" w:pos="340"/>
      </w:tabs>
      <w:spacing w:before="40" w:after="40"/>
    </w:pPr>
  </w:style>
  <w:style w:type="character" w:customStyle="1" w:styleId="SpecialBold">
    <w:name w:val="Special Bold"/>
    <w:basedOn w:val="DefaultParagraphFont"/>
    <w:rsid w:val="00040118"/>
    <w:rPr>
      <w:b/>
      <w:spacing w:val="0"/>
    </w:rPr>
  </w:style>
  <w:style w:type="paragraph" w:styleId="ListBullet2">
    <w:name w:val="List Bullet 2"/>
    <w:basedOn w:val="List2"/>
    <w:rsid w:val="00040118"/>
    <w:pPr>
      <w:numPr>
        <w:numId w:val="14"/>
      </w:numPr>
      <w:tabs>
        <w:tab w:val="clear" w:pos="680"/>
      </w:tabs>
    </w:pPr>
  </w:style>
  <w:style w:type="character" w:styleId="Emphasis">
    <w:name w:val="Emphasis"/>
    <w:basedOn w:val="DefaultParagraphFont"/>
    <w:qFormat/>
    <w:rsid w:val="00040118"/>
    <w:rPr>
      <w:i/>
    </w:rPr>
  </w:style>
  <w:style w:type="paragraph" w:customStyle="1" w:styleId="SuperHeading">
    <w:name w:val="SuperHeading"/>
    <w:basedOn w:val="Normal"/>
    <w:rsid w:val="00040118"/>
    <w:pPr>
      <w:spacing w:before="240" w:after="120"/>
      <w:outlineLvl w:val="0"/>
    </w:pPr>
    <w:rPr>
      <w:rFonts w:ascii="Times New Roman" w:hAnsi="Times New Roman"/>
      <w:b/>
      <w:sz w:val="32"/>
    </w:rPr>
  </w:style>
  <w:style w:type="paragraph" w:customStyle="1" w:styleId="AllowPageBreak">
    <w:name w:val="AllowPageBreak"/>
    <w:rsid w:val="000401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0118"/>
    <w:pPr>
      <w:numPr>
        <w:numId w:val="3"/>
      </w:numPr>
      <w:tabs>
        <w:tab w:val="clear" w:pos="1021"/>
      </w:tabs>
      <w:ind w:left="1037" w:hanging="357"/>
    </w:pPr>
  </w:style>
  <w:style w:type="character" w:customStyle="1" w:styleId="Heading2Char">
    <w:name w:val="Heading 2 Char"/>
    <w:basedOn w:val="DefaultParagraphFont"/>
    <w:link w:val="Heading2"/>
    <w:rsid w:val="00040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118"/>
    <w:rPr>
      <w:rFonts w:ascii="Courier New" w:eastAsia="Times New Roman" w:hAnsi="Courier New" w:cs="Times New Roman"/>
      <w:i/>
      <w:szCs w:val="20"/>
      <w:lang w:eastAsia="en-US"/>
    </w:rPr>
  </w:style>
  <w:style w:type="paragraph" w:customStyle="1" w:styleId="HeadingBase">
    <w:name w:val="Heading Base"/>
    <w:rsid w:val="00040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118"/>
    <w:pPr>
      <w:tabs>
        <w:tab w:val="right" w:leader="dot" w:pos="9072"/>
      </w:tabs>
      <w:ind w:left="567"/>
    </w:pPr>
    <w:rPr>
      <w:szCs w:val="22"/>
    </w:rPr>
  </w:style>
  <w:style w:type="paragraph" w:customStyle="1" w:styleId="TOCBase">
    <w:name w:val="TOC Base"/>
    <w:rsid w:val="00040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118"/>
    <w:pPr>
      <w:tabs>
        <w:tab w:val="right" w:leader="dot" w:pos="9072"/>
      </w:tabs>
      <w:spacing w:before="40" w:after="40"/>
      <w:ind w:left="284"/>
    </w:pPr>
    <w:rPr>
      <w:rFonts w:ascii="Times New Roman" w:hAnsi="Times New Roman"/>
    </w:rPr>
  </w:style>
  <w:style w:type="paragraph" w:styleId="TOC1">
    <w:name w:val="toc 1"/>
    <w:basedOn w:val="TOCBase"/>
    <w:next w:val="Normal"/>
    <w:rsid w:val="000401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118"/>
    <w:rPr>
      <w:rFonts w:ascii="Times New Roman" w:eastAsia="Times New Roman" w:hAnsi="Times New Roman" w:cs="Times New Roman"/>
      <w:sz w:val="16"/>
      <w:lang w:eastAsia="en-US"/>
    </w:rPr>
  </w:style>
  <w:style w:type="paragraph" w:styleId="Title">
    <w:name w:val="Title"/>
    <w:basedOn w:val="HeadingBase"/>
    <w:link w:val="TitleChar"/>
    <w:qFormat/>
    <w:rsid w:val="00040118"/>
    <w:pPr>
      <w:spacing w:before="5040"/>
      <w:jc w:val="center"/>
    </w:pPr>
    <w:rPr>
      <w:sz w:val="48"/>
      <w:szCs w:val="72"/>
      <w:lang w:val="en-US"/>
    </w:rPr>
  </w:style>
  <w:style w:type="character" w:customStyle="1" w:styleId="TitleChar">
    <w:name w:val="Title Char"/>
    <w:basedOn w:val="DefaultParagraphFont"/>
    <w:link w:val="Title"/>
    <w:rsid w:val="00040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118"/>
    <w:pPr>
      <w:tabs>
        <w:tab w:val="left" w:pos="3600"/>
        <w:tab w:val="left" w:pos="3958"/>
      </w:tabs>
    </w:pPr>
  </w:style>
  <w:style w:type="paragraph" w:styleId="List">
    <w:name w:val="List"/>
    <w:basedOn w:val="BodyText"/>
    <w:next w:val="BodyText"/>
    <w:rsid w:val="00040118"/>
    <w:pPr>
      <w:tabs>
        <w:tab w:val="left" w:pos="340"/>
      </w:tabs>
      <w:spacing w:before="60" w:after="60"/>
      <w:ind w:left="340" w:hanging="340"/>
    </w:pPr>
  </w:style>
  <w:style w:type="paragraph" w:customStyle="1" w:styleId="Note">
    <w:name w:val="Note"/>
    <w:basedOn w:val="BodyText"/>
    <w:rsid w:val="00040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118"/>
    <w:pPr>
      <w:framePr w:wrap="auto" w:hAnchor="text" w:y="6049"/>
    </w:pPr>
    <w:rPr>
      <w:color w:val="000000"/>
      <w:sz w:val="40"/>
    </w:rPr>
  </w:style>
  <w:style w:type="paragraph" w:customStyle="1" w:styleId="TOCTitle">
    <w:name w:val="TOCTitle"/>
    <w:basedOn w:val="Heading1"/>
    <w:rsid w:val="00040118"/>
    <w:pPr>
      <w:spacing w:after="240"/>
      <w:jc w:val="center"/>
      <w:outlineLvl w:val="9"/>
    </w:pPr>
    <w:rPr>
      <w:caps/>
    </w:rPr>
  </w:style>
  <w:style w:type="paragraph" w:customStyle="1" w:styleId="Version">
    <w:name w:val="Version"/>
    <w:rsid w:val="000401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118"/>
    <w:pPr>
      <w:keepNext w:val="0"/>
      <w:tabs>
        <w:tab w:val="right" w:pos="4176"/>
      </w:tabs>
      <w:ind w:left="198" w:hanging="198"/>
    </w:pPr>
    <w:rPr>
      <w:rFonts w:ascii="Garamond" w:hAnsi="Garamond"/>
    </w:rPr>
  </w:style>
  <w:style w:type="paragraph" w:styleId="IndexHeading">
    <w:name w:val="index heading"/>
    <w:basedOn w:val="Normal"/>
    <w:next w:val="Index1"/>
    <w:semiHidden/>
    <w:rsid w:val="00040118"/>
    <w:pPr>
      <w:spacing w:before="120" w:after="120"/>
    </w:pPr>
    <w:rPr>
      <w:rFonts w:ascii="Arial" w:hAnsi="Arial"/>
      <w:b/>
      <w:color w:val="918585"/>
      <w:sz w:val="24"/>
    </w:rPr>
  </w:style>
  <w:style w:type="paragraph" w:styleId="Header">
    <w:name w:val="header"/>
    <w:basedOn w:val="Normal"/>
    <w:link w:val="HeaderChar"/>
    <w:rsid w:val="00040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118"/>
    <w:rPr>
      <w:rFonts w:ascii="Times New Roman" w:eastAsia="Times New Roman" w:hAnsi="Times New Roman" w:cs="Times New Roman"/>
      <w:sz w:val="16"/>
      <w:szCs w:val="20"/>
      <w:lang w:val="en-GB" w:eastAsia="en-US"/>
    </w:rPr>
  </w:style>
  <w:style w:type="paragraph" w:customStyle="1" w:styleId="Chapter">
    <w:name w:val="Chapter"/>
    <w:basedOn w:val="Normal"/>
    <w:rsid w:val="00040118"/>
    <w:pPr>
      <w:spacing w:before="240"/>
    </w:pPr>
    <w:rPr>
      <w:rFonts w:ascii="Times New Roman" w:hAnsi="Times New Roman"/>
      <w:smallCaps/>
      <w:spacing w:val="80"/>
      <w:sz w:val="28"/>
    </w:rPr>
  </w:style>
  <w:style w:type="paragraph" w:customStyle="1" w:styleId="InChapter">
    <w:name w:val="InChapter"/>
    <w:basedOn w:val="Heading3"/>
    <w:rsid w:val="00040118"/>
    <w:pPr>
      <w:spacing w:after="240"/>
      <w:outlineLvl w:val="9"/>
    </w:pPr>
    <w:rPr>
      <w:noProof/>
    </w:rPr>
  </w:style>
  <w:style w:type="paragraph" w:styleId="Index2">
    <w:name w:val="index 2"/>
    <w:basedOn w:val="Normal"/>
    <w:next w:val="Normal"/>
    <w:semiHidden/>
    <w:rsid w:val="00040118"/>
    <w:pPr>
      <w:tabs>
        <w:tab w:val="right" w:pos="4176"/>
      </w:tabs>
      <w:ind w:left="568" w:hanging="284"/>
    </w:pPr>
    <w:rPr>
      <w:rFonts w:ascii="Garamond" w:hAnsi="Garamond"/>
    </w:rPr>
  </w:style>
  <w:style w:type="paragraph" w:customStyle="1" w:styleId="Byline">
    <w:name w:val="Byline"/>
    <w:rsid w:val="00040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118"/>
    <w:pPr>
      <w:tabs>
        <w:tab w:val="clear" w:pos="3600"/>
        <w:tab w:val="clear" w:pos="3958"/>
      </w:tabs>
      <w:jc w:val="right"/>
    </w:pPr>
  </w:style>
  <w:style w:type="paragraph" w:styleId="Caption">
    <w:name w:val="caption"/>
    <w:basedOn w:val="BodyText"/>
    <w:next w:val="Normal"/>
    <w:qFormat/>
    <w:rsid w:val="00040118"/>
    <w:pPr>
      <w:framePr w:w="2268" w:hSpace="181" w:vSpace="181" w:wrap="around" w:vAnchor="text" w:hAnchor="page" w:x="1135" w:y="285" w:anchorLock="1"/>
    </w:pPr>
    <w:rPr>
      <w:i/>
    </w:rPr>
  </w:style>
  <w:style w:type="paragraph" w:customStyle="1" w:styleId="MiniTOCTitle">
    <w:name w:val="MiniTOCTitle"/>
    <w:basedOn w:val="Heading4"/>
    <w:rsid w:val="00040118"/>
    <w:pPr>
      <w:spacing w:before="240"/>
      <w:outlineLvl w:val="9"/>
    </w:pPr>
    <w:rPr>
      <w:noProof/>
      <w:sz w:val="24"/>
    </w:rPr>
  </w:style>
  <w:style w:type="paragraph" w:customStyle="1" w:styleId="MiniTOCItem">
    <w:name w:val="MiniTOCItem"/>
    <w:basedOn w:val="ListBullet"/>
    <w:rsid w:val="00040118"/>
    <w:pPr>
      <w:numPr>
        <w:numId w:val="0"/>
      </w:numPr>
      <w:tabs>
        <w:tab w:val="right" w:leader="dot" w:pos="6521"/>
      </w:tabs>
      <w:spacing w:before="0" w:after="0"/>
    </w:pPr>
  </w:style>
  <w:style w:type="paragraph" w:customStyle="1" w:styleId="TOFTitle">
    <w:name w:val="TOFTitle"/>
    <w:basedOn w:val="TOCTitle"/>
    <w:rsid w:val="00040118"/>
  </w:style>
  <w:style w:type="paragraph" w:styleId="TableofFigures">
    <w:name w:val="table of figures"/>
    <w:basedOn w:val="Normal"/>
    <w:next w:val="Normal"/>
    <w:semiHidden/>
    <w:rsid w:val="00040118"/>
    <w:pPr>
      <w:tabs>
        <w:tab w:val="right" w:leader="dot" w:pos="9072"/>
      </w:tabs>
      <w:ind w:left="970" w:hanging="403"/>
    </w:pPr>
    <w:rPr>
      <w:rFonts w:ascii="Times New Roman" w:hAnsi="Times New Roman"/>
      <w:b/>
    </w:rPr>
  </w:style>
  <w:style w:type="paragraph" w:styleId="ListNumber">
    <w:name w:val="List Number"/>
    <w:basedOn w:val="List"/>
    <w:rsid w:val="00040118"/>
    <w:pPr>
      <w:numPr>
        <w:numId w:val="16"/>
      </w:numPr>
      <w:tabs>
        <w:tab w:val="clear" w:pos="340"/>
      </w:tabs>
    </w:pPr>
  </w:style>
  <w:style w:type="character" w:customStyle="1" w:styleId="WingdingSymbols">
    <w:name w:val="Wingding Symbols"/>
    <w:rsid w:val="00040118"/>
    <w:rPr>
      <w:rFonts w:ascii="Wingdings" w:hAnsi="Wingdings"/>
    </w:rPr>
  </w:style>
  <w:style w:type="paragraph" w:customStyle="1" w:styleId="TableHeading">
    <w:name w:val="Table Heading"/>
    <w:basedOn w:val="HeadingBase"/>
    <w:rsid w:val="00040118"/>
    <w:pPr>
      <w:keepLines/>
      <w:pBdr>
        <w:bottom w:val="single" w:sz="6" w:space="1" w:color="918585"/>
      </w:pBdr>
      <w:spacing w:before="240"/>
    </w:pPr>
  </w:style>
  <w:style w:type="character" w:customStyle="1" w:styleId="HotSpot">
    <w:name w:val="HotSpot"/>
    <w:rsid w:val="00040118"/>
    <w:rPr>
      <w:color w:val="0033CC"/>
      <w:u w:val="none"/>
    </w:rPr>
  </w:style>
  <w:style w:type="paragraph" w:customStyle="1" w:styleId="BodyTextRight">
    <w:name w:val="Body Text Right"/>
    <w:basedOn w:val="BodyText"/>
    <w:rsid w:val="00040118"/>
    <w:pPr>
      <w:spacing w:before="0" w:after="0"/>
      <w:jc w:val="right"/>
    </w:pPr>
  </w:style>
  <w:style w:type="paragraph" w:styleId="Index3">
    <w:name w:val="index 3"/>
    <w:basedOn w:val="ListNumber2"/>
    <w:next w:val="Normal"/>
    <w:semiHidden/>
    <w:rsid w:val="00040118"/>
    <w:pPr>
      <w:numPr>
        <w:numId w:val="0"/>
      </w:numPr>
      <w:tabs>
        <w:tab w:val="right" w:leader="dot" w:pos="4176"/>
      </w:tabs>
    </w:pPr>
  </w:style>
  <w:style w:type="paragraph" w:styleId="ListNumber2">
    <w:name w:val="List Number 2"/>
    <w:basedOn w:val="List2"/>
    <w:rsid w:val="00040118"/>
    <w:pPr>
      <w:numPr>
        <w:numId w:val="11"/>
      </w:numPr>
      <w:tabs>
        <w:tab w:val="clear" w:pos="1060"/>
      </w:tabs>
    </w:pPr>
  </w:style>
  <w:style w:type="paragraph" w:customStyle="1" w:styleId="MarginNote">
    <w:name w:val="Margin Note"/>
    <w:basedOn w:val="BodyText"/>
    <w:rsid w:val="00040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118"/>
    <w:rPr>
      <w:sz w:val="32"/>
    </w:rPr>
  </w:style>
  <w:style w:type="paragraph" w:customStyle="1" w:styleId="HeadingProcedure">
    <w:name w:val="Heading Procedure"/>
    <w:basedOn w:val="HeadingBase"/>
    <w:next w:val="Normal"/>
    <w:rsid w:val="00040118"/>
    <w:pPr>
      <w:tabs>
        <w:tab w:val="left" w:pos="0"/>
      </w:tabs>
      <w:spacing w:before="120" w:after="60"/>
    </w:pPr>
    <w:rPr>
      <w:i/>
      <w:color w:val="918585"/>
      <w:sz w:val="22"/>
    </w:rPr>
  </w:style>
  <w:style w:type="paragraph" w:customStyle="1" w:styleId="TableBodyText">
    <w:name w:val="Table Body Text"/>
    <w:basedOn w:val="BodyText"/>
    <w:rsid w:val="00040118"/>
    <w:pPr>
      <w:spacing w:before="60" w:after="60"/>
    </w:pPr>
  </w:style>
  <w:style w:type="paragraph" w:styleId="ListContinue">
    <w:name w:val="List Continue"/>
    <w:basedOn w:val="List"/>
    <w:rsid w:val="00040118"/>
    <w:pPr>
      <w:ind w:firstLine="0"/>
    </w:pPr>
  </w:style>
  <w:style w:type="paragraph" w:customStyle="1" w:styleId="ListNote">
    <w:name w:val="List Note"/>
    <w:basedOn w:val="List"/>
    <w:rsid w:val="00040118"/>
    <w:pPr>
      <w:pBdr>
        <w:top w:val="single" w:sz="6" w:space="2" w:color="918585"/>
        <w:bottom w:val="single" w:sz="6" w:space="2" w:color="918585"/>
      </w:pBdr>
      <w:tabs>
        <w:tab w:val="left" w:pos="1021"/>
      </w:tabs>
      <w:ind w:firstLine="0"/>
    </w:pPr>
  </w:style>
  <w:style w:type="paragraph" w:customStyle="1" w:styleId="Warning">
    <w:name w:val="Warning"/>
    <w:basedOn w:val="BodyText"/>
    <w:rsid w:val="00040118"/>
    <w:pPr>
      <w:shd w:val="clear" w:color="auto" w:fill="D9D9D9"/>
      <w:tabs>
        <w:tab w:val="left" w:pos="992"/>
      </w:tabs>
      <w:ind w:left="119" w:right="119"/>
    </w:pPr>
    <w:rPr>
      <w:sz w:val="20"/>
    </w:rPr>
  </w:style>
  <w:style w:type="paragraph" w:customStyle="1" w:styleId="MarginIcons">
    <w:name w:val="Margin Icons"/>
    <w:basedOn w:val="BodyText"/>
    <w:rsid w:val="00040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118"/>
    <w:rPr>
      <w:rFonts w:ascii="Courier New" w:hAnsi="Courier New"/>
    </w:rPr>
  </w:style>
  <w:style w:type="paragraph" w:customStyle="1" w:styleId="NoteBullet">
    <w:name w:val="Note Bullet"/>
    <w:basedOn w:val="Note"/>
    <w:rsid w:val="00040118"/>
    <w:pPr>
      <w:tabs>
        <w:tab w:val="clear" w:pos="680"/>
      </w:tabs>
      <w:spacing w:before="60" w:after="60"/>
    </w:pPr>
  </w:style>
  <w:style w:type="paragraph" w:customStyle="1" w:styleId="SubHeading2">
    <w:name w:val="SubHeading2"/>
    <w:basedOn w:val="HeadingBase"/>
    <w:rsid w:val="00040118"/>
    <w:pPr>
      <w:spacing w:before="240" w:after="60"/>
    </w:pPr>
    <w:rPr>
      <w:sz w:val="20"/>
    </w:rPr>
  </w:style>
  <w:style w:type="paragraph" w:customStyle="1" w:styleId="SubHeading1">
    <w:name w:val="SubHeading1"/>
    <w:basedOn w:val="HeadingBase"/>
    <w:rsid w:val="00040118"/>
    <w:pPr>
      <w:spacing w:before="240" w:after="60"/>
    </w:pPr>
    <w:rPr>
      <w:color w:val="918585"/>
      <w:sz w:val="22"/>
    </w:rPr>
  </w:style>
  <w:style w:type="paragraph" w:customStyle="1" w:styleId="SideHeading">
    <w:name w:val="Side Heading"/>
    <w:basedOn w:val="HeadingBase"/>
    <w:rsid w:val="00040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118"/>
    <w:pPr>
      <w:numPr>
        <w:numId w:val="12"/>
      </w:numPr>
    </w:pPr>
  </w:style>
  <w:style w:type="paragraph" w:styleId="PlainText">
    <w:name w:val="Plain Text"/>
    <w:basedOn w:val="Normal"/>
    <w:link w:val="PlainTextChar"/>
    <w:rsid w:val="00040118"/>
    <w:rPr>
      <w:sz w:val="20"/>
    </w:rPr>
  </w:style>
  <w:style w:type="character" w:customStyle="1" w:styleId="PlainTextChar">
    <w:name w:val="Plain Text Char"/>
    <w:basedOn w:val="DefaultParagraphFont"/>
    <w:link w:val="PlainText"/>
    <w:rsid w:val="00040118"/>
    <w:rPr>
      <w:rFonts w:ascii="Courier New" w:eastAsia="Times New Roman" w:hAnsi="Courier New" w:cs="Times New Roman"/>
      <w:sz w:val="20"/>
      <w:szCs w:val="20"/>
      <w:lang w:eastAsia="en-US"/>
    </w:rPr>
  </w:style>
  <w:style w:type="character" w:customStyle="1" w:styleId="MenuOption">
    <w:name w:val="Menu Option"/>
    <w:basedOn w:val="DefaultParagraphFont"/>
    <w:rsid w:val="00040118"/>
    <w:rPr>
      <w:b/>
      <w:smallCaps/>
    </w:rPr>
  </w:style>
  <w:style w:type="paragraph" w:customStyle="1" w:styleId="TableListNumber">
    <w:name w:val="Table List Number"/>
    <w:basedOn w:val="ListNumber"/>
    <w:rsid w:val="00040118"/>
    <w:pPr>
      <w:numPr>
        <w:numId w:val="0"/>
      </w:numPr>
    </w:pPr>
  </w:style>
  <w:style w:type="paragraph" w:styleId="TOC4">
    <w:name w:val="toc 4"/>
    <w:basedOn w:val="TOCBase"/>
    <w:next w:val="Normal"/>
    <w:semiHidden/>
    <w:rsid w:val="00040118"/>
    <w:pPr>
      <w:tabs>
        <w:tab w:val="right" w:leader="dot" w:pos="9071"/>
      </w:tabs>
      <w:ind w:left="1701"/>
    </w:pPr>
  </w:style>
  <w:style w:type="paragraph" w:customStyle="1" w:styleId="ListAlpha">
    <w:name w:val="List Alpha"/>
    <w:basedOn w:val="List"/>
    <w:rsid w:val="00040118"/>
    <w:pPr>
      <w:numPr>
        <w:numId w:val="10"/>
      </w:numPr>
    </w:pPr>
  </w:style>
  <w:style w:type="paragraph" w:customStyle="1" w:styleId="ListAlpha2">
    <w:name w:val="List Alpha 2"/>
    <w:basedOn w:val="List2"/>
    <w:rsid w:val="00040118"/>
    <w:pPr>
      <w:numPr>
        <w:numId w:val="9"/>
      </w:numPr>
    </w:pPr>
  </w:style>
  <w:style w:type="paragraph" w:styleId="List2">
    <w:name w:val="List 2"/>
    <w:basedOn w:val="BodyText"/>
    <w:rsid w:val="00040118"/>
    <w:pPr>
      <w:tabs>
        <w:tab w:val="left" w:pos="680"/>
      </w:tabs>
      <w:spacing w:before="60" w:after="60"/>
      <w:ind w:left="680" w:hanging="340"/>
    </w:pPr>
  </w:style>
  <w:style w:type="paragraph" w:styleId="List3">
    <w:name w:val="List 3"/>
    <w:basedOn w:val="BodyText"/>
    <w:rsid w:val="00040118"/>
    <w:pPr>
      <w:tabs>
        <w:tab w:val="left" w:pos="1021"/>
      </w:tabs>
      <w:spacing w:before="60" w:after="60"/>
      <w:ind w:left="1020" w:hanging="340"/>
    </w:pPr>
  </w:style>
  <w:style w:type="paragraph" w:styleId="List4">
    <w:name w:val="List 4"/>
    <w:basedOn w:val="BodyText"/>
    <w:rsid w:val="00040118"/>
    <w:pPr>
      <w:tabs>
        <w:tab w:val="left" w:pos="1361"/>
      </w:tabs>
      <w:spacing w:before="60" w:after="60"/>
      <w:ind w:left="1361" w:hanging="340"/>
    </w:pPr>
  </w:style>
  <w:style w:type="paragraph" w:styleId="List5">
    <w:name w:val="List 5"/>
    <w:basedOn w:val="BodyText"/>
    <w:rsid w:val="00040118"/>
    <w:pPr>
      <w:tabs>
        <w:tab w:val="left" w:pos="1701"/>
      </w:tabs>
      <w:spacing w:before="60" w:after="60"/>
      <w:ind w:left="1701" w:hanging="340"/>
    </w:pPr>
  </w:style>
  <w:style w:type="paragraph" w:styleId="ListBullet4">
    <w:name w:val="List Bullet 4"/>
    <w:basedOn w:val="List4"/>
    <w:rsid w:val="00040118"/>
    <w:pPr>
      <w:numPr>
        <w:numId w:val="4"/>
      </w:numPr>
      <w:tabs>
        <w:tab w:val="clear" w:pos="1361"/>
      </w:tabs>
    </w:pPr>
  </w:style>
  <w:style w:type="paragraph" w:styleId="ListBullet5">
    <w:name w:val="List Bullet 5"/>
    <w:basedOn w:val="List5"/>
    <w:rsid w:val="00040118"/>
    <w:pPr>
      <w:numPr>
        <w:numId w:val="5"/>
      </w:numPr>
    </w:pPr>
  </w:style>
  <w:style w:type="paragraph" w:styleId="ListContinue2">
    <w:name w:val="List Continue 2"/>
    <w:basedOn w:val="List2"/>
    <w:rsid w:val="00040118"/>
    <w:pPr>
      <w:ind w:firstLine="0"/>
    </w:pPr>
  </w:style>
  <w:style w:type="paragraph" w:styleId="ListContinue3">
    <w:name w:val="List Continue 3"/>
    <w:basedOn w:val="List3"/>
    <w:rsid w:val="00040118"/>
    <w:pPr>
      <w:ind w:left="1021" w:firstLine="0"/>
    </w:pPr>
  </w:style>
  <w:style w:type="paragraph" w:styleId="ListContinue4">
    <w:name w:val="List Continue 4"/>
    <w:basedOn w:val="List4"/>
    <w:rsid w:val="00040118"/>
    <w:pPr>
      <w:ind w:firstLine="0"/>
    </w:pPr>
  </w:style>
  <w:style w:type="paragraph" w:styleId="ListContinue5">
    <w:name w:val="List Continue 5"/>
    <w:basedOn w:val="List5"/>
    <w:rsid w:val="00040118"/>
    <w:pPr>
      <w:ind w:firstLine="0"/>
    </w:pPr>
  </w:style>
  <w:style w:type="paragraph" w:styleId="ListNumber3">
    <w:name w:val="List Number 3"/>
    <w:basedOn w:val="List3"/>
    <w:rsid w:val="00040118"/>
    <w:pPr>
      <w:numPr>
        <w:numId w:val="6"/>
      </w:numPr>
    </w:pPr>
  </w:style>
  <w:style w:type="paragraph" w:styleId="ListNumber4">
    <w:name w:val="List Number 4"/>
    <w:basedOn w:val="List4"/>
    <w:rsid w:val="00040118"/>
    <w:pPr>
      <w:numPr>
        <w:numId w:val="7"/>
      </w:numPr>
    </w:pPr>
  </w:style>
  <w:style w:type="paragraph" w:styleId="ListNumber5">
    <w:name w:val="List Number 5"/>
    <w:basedOn w:val="List5"/>
    <w:rsid w:val="00040118"/>
    <w:pPr>
      <w:numPr>
        <w:numId w:val="8"/>
      </w:numPr>
    </w:pPr>
  </w:style>
  <w:style w:type="paragraph" w:styleId="BlockText">
    <w:name w:val="Block Text"/>
    <w:basedOn w:val="Normal"/>
    <w:rsid w:val="00040118"/>
    <w:pPr>
      <w:spacing w:after="120"/>
      <w:ind w:left="1440" w:right="1440"/>
    </w:pPr>
  </w:style>
  <w:style w:type="character" w:customStyle="1" w:styleId="Subscript">
    <w:name w:val="Subscript"/>
    <w:basedOn w:val="DefaultParagraphFont"/>
    <w:rsid w:val="00040118"/>
    <w:rPr>
      <w:sz w:val="16"/>
      <w:vertAlign w:val="subscript"/>
    </w:rPr>
  </w:style>
  <w:style w:type="character" w:customStyle="1" w:styleId="Superscript">
    <w:name w:val="Superscript"/>
    <w:basedOn w:val="DefaultParagraphFont"/>
    <w:rsid w:val="00040118"/>
    <w:rPr>
      <w:sz w:val="16"/>
      <w:vertAlign w:val="superscript"/>
    </w:rPr>
  </w:style>
  <w:style w:type="character" w:customStyle="1" w:styleId="Symbols">
    <w:name w:val="Symbols"/>
    <w:basedOn w:val="DefaultParagraphFont"/>
    <w:rsid w:val="00040118"/>
    <w:rPr>
      <w:rFonts w:ascii="Symbol" w:hAnsi="Symbol"/>
    </w:rPr>
  </w:style>
  <w:style w:type="character" w:customStyle="1" w:styleId="MenuOptions">
    <w:name w:val="Menu Options"/>
    <w:basedOn w:val="DefaultParagraphFont"/>
    <w:rsid w:val="00040118"/>
    <w:rPr>
      <w:rFonts w:ascii="Arial Narrow" w:hAnsi="Arial Narrow"/>
      <w:smallCaps/>
    </w:rPr>
  </w:style>
  <w:style w:type="character" w:customStyle="1" w:styleId="Buttons">
    <w:name w:val="Buttons"/>
    <w:basedOn w:val="DefaultParagraphFont"/>
    <w:rsid w:val="00040118"/>
    <w:rPr>
      <w:b/>
    </w:rPr>
  </w:style>
  <w:style w:type="character" w:customStyle="1" w:styleId="Underlined">
    <w:name w:val="Underlined"/>
    <w:basedOn w:val="DefaultParagraphFont"/>
    <w:rsid w:val="00040118"/>
    <w:rPr>
      <w:u w:val="single"/>
    </w:rPr>
  </w:style>
  <w:style w:type="paragraph" w:customStyle="1" w:styleId="TableBodyTextRight">
    <w:name w:val="Table Body Text Right"/>
    <w:basedOn w:val="TableBodyText"/>
    <w:rsid w:val="00040118"/>
    <w:pPr>
      <w:widowControl w:val="0"/>
      <w:autoSpaceDE w:val="0"/>
      <w:autoSpaceDN w:val="0"/>
      <w:adjustRightInd w:val="0"/>
      <w:jc w:val="right"/>
    </w:pPr>
    <w:rPr>
      <w:rFonts w:cs="Arial"/>
      <w:szCs w:val="18"/>
    </w:rPr>
  </w:style>
  <w:style w:type="paragraph" w:customStyle="1" w:styleId="CopyrightText">
    <w:name w:val="Copyright Text"/>
    <w:basedOn w:val="BodyText"/>
    <w:rsid w:val="00040118"/>
    <w:rPr>
      <w:sz w:val="18"/>
    </w:rPr>
  </w:style>
  <w:style w:type="paragraph" w:customStyle="1" w:styleId="BodySmallRight">
    <w:name w:val="Body Small Right"/>
    <w:basedOn w:val="BodyTextRight"/>
    <w:rsid w:val="00040118"/>
    <w:rPr>
      <w:sz w:val="18"/>
      <w:szCs w:val="18"/>
    </w:rPr>
  </w:style>
  <w:style w:type="paragraph" w:customStyle="1" w:styleId="MarginEdition">
    <w:name w:val="Margin Edition"/>
    <w:basedOn w:val="MarginNote"/>
    <w:rsid w:val="00040118"/>
    <w:pPr>
      <w:spacing w:before="0" w:after="0"/>
    </w:pPr>
    <w:rPr>
      <w:rFonts w:ascii="Times New Roman" w:hAnsi="Times New Roman"/>
      <w:color w:val="999999"/>
    </w:rPr>
  </w:style>
  <w:style w:type="paragraph" w:customStyle="1" w:styleId="Spacer">
    <w:name w:val="Spacer"/>
    <w:basedOn w:val="Normal"/>
    <w:rsid w:val="00040118"/>
    <w:rPr>
      <w:sz w:val="2"/>
      <w:szCs w:val="2"/>
    </w:rPr>
  </w:style>
  <w:style w:type="character" w:customStyle="1" w:styleId="Small">
    <w:name w:val="Small"/>
    <w:basedOn w:val="DefaultParagraphFont"/>
    <w:rsid w:val="00040118"/>
    <w:rPr>
      <w:sz w:val="16"/>
    </w:rPr>
  </w:style>
  <w:style w:type="paragraph" w:customStyle="1" w:styleId="WideTable">
    <w:name w:val="Wide Table"/>
    <w:basedOn w:val="Normal"/>
    <w:rsid w:val="00040118"/>
    <w:pPr>
      <w:ind w:left="-1418"/>
    </w:pPr>
    <w:rPr>
      <w:sz w:val="2"/>
      <w:szCs w:val="2"/>
    </w:rPr>
  </w:style>
  <w:style w:type="character" w:styleId="PageNumber">
    <w:name w:val="page number"/>
    <w:basedOn w:val="DefaultParagraphFont"/>
    <w:rsid w:val="00040118"/>
  </w:style>
  <w:style w:type="paragraph" w:styleId="Quote">
    <w:name w:val="Quote"/>
    <w:basedOn w:val="Heading1"/>
    <w:link w:val="QuoteChar"/>
    <w:qFormat/>
    <w:rsid w:val="00040118"/>
    <w:rPr>
      <w:b w:val="0"/>
      <w:sz w:val="72"/>
      <w:szCs w:val="72"/>
      <w:lang w:val="en-NZ"/>
    </w:rPr>
  </w:style>
  <w:style w:type="character" w:customStyle="1" w:styleId="QuoteChar">
    <w:name w:val="Quote Char"/>
    <w:basedOn w:val="DefaultParagraphFont"/>
    <w:link w:val="Quote"/>
    <w:rsid w:val="00040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118"/>
    <w:pPr>
      <w:pageBreakBefore/>
    </w:pPr>
  </w:style>
  <w:style w:type="paragraph" w:customStyle="1" w:styleId="Border">
    <w:name w:val="Border"/>
    <w:basedOn w:val="Normal"/>
    <w:qFormat/>
    <w:rsid w:val="00040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118"/>
    <w:rPr>
      <w:b/>
      <w:bCs/>
      <w:i/>
      <w:iCs/>
      <w:color w:val="auto"/>
    </w:rPr>
  </w:style>
  <w:style w:type="paragraph" w:styleId="IntenseQuote">
    <w:name w:val="Intense Quote"/>
    <w:basedOn w:val="Normal"/>
    <w:next w:val="Normal"/>
    <w:link w:val="IntenseQuoteChar"/>
    <w:uiPriority w:val="30"/>
    <w:qFormat/>
    <w:rsid w:val="00040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118"/>
    <w:rPr>
      <w:smallCaps/>
      <w:color w:val="auto"/>
      <w:u w:val="single"/>
    </w:rPr>
  </w:style>
  <w:style w:type="character" w:styleId="IntenseReference">
    <w:name w:val="Intense Reference"/>
    <w:basedOn w:val="DefaultParagraphFont"/>
    <w:uiPriority w:val="32"/>
    <w:qFormat/>
    <w:rsid w:val="00040118"/>
    <w:rPr>
      <w:b/>
      <w:bCs/>
      <w:smallCaps/>
      <w:color w:val="auto"/>
      <w:spacing w:val="5"/>
      <w:u w:val="single"/>
    </w:rPr>
  </w:style>
  <w:style w:type="paragraph" w:customStyle="1" w:styleId="2ColumnHeading">
    <w:name w:val="2Column Heading"/>
    <w:basedOn w:val="BodyText"/>
    <w:qFormat/>
    <w:rsid w:val="00040118"/>
    <w:pPr>
      <w:spacing w:after="60"/>
      <w:ind w:left="-2268"/>
    </w:pPr>
    <w:rPr>
      <w:b/>
    </w:rPr>
  </w:style>
  <w:style w:type="paragraph" w:customStyle="1" w:styleId="Heading1TOC">
    <w:name w:val="Heading1 TOC"/>
    <w:basedOn w:val="Normal"/>
    <w:qFormat/>
    <w:rsid w:val="00040118"/>
    <w:pPr>
      <w:spacing w:before="240" w:after="120"/>
    </w:pPr>
    <w:rPr>
      <w:rFonts w:ascii="Times New Roman" w:hAnsi="Times New Roman"/>
      <w:b/>
      <w:sz w:val="32"/>
    </w:rPr>
  </w:style>
  <w:style w:type="paragraph" w:customStyle="1" w:styleId="Heading2TOC">
    <w:name w:val="Heading2 TOC"/>
    <w:basedOn w:val="Normal"/>
    <w:qFormat/>
    <w:rsid w:val="00040118"/>
    <w:pPr>
      <w:spacing w:before="240" w:after="60"/>
    </w:pPr>
    <w:rPr>
      <w:rFonts w:ascii="Times New Roman" w:hAnsi="Times New Roman"/>
      <w:b/>
      <w:sz w:val="28"/>
    </w:rPr>
  </w:style>
  <w:style w:type="character" w:customStyle="1" w:styleId="Underline">
    <w:name w:val="Underline"/>
    <w:basedOn w:val="DefaultParagraphFont"/>
    <w:qFormat/>
    <w:rsid w:val="00040118"/>
    <w:rPr>
      <w:u w:val="single"/>
    </w:rPr>
  </w:style>
  <w:style w:type="character" w:customStyle="1" w:styleId="BoldandItalics">
    <w:name w:val="Bold and Italics"/>
    <w:qFormat/>
    <w:rsid w:val="00040118"/>
    <w:rPr>
      <w:b/>
      <w:i/>
      <w:u w:val="none"/>
    </w:rPr>
  </w:style>
  <w:style w:type="paragraph" w:styleId="BalloonText">
    <w:name w:val="Balloon Text"/>
    <w:basedOn w:val="Normal"/>
    <w:link w:val="BalloonTextChar"/>
    <w:rsid w:val="00040118"/>
    <w:rPr>
      <w:rFonts w:ascii="Tahoma" w:hAnsi="Tahoma" w:cs="Tahoma"/>
      <w:sz w:val="16"/>
      <w:szCs w:val="16"/>
    </w:rPr>
  </w:style>
  <w:style w:type="character" w:customStyle="1" w:styleId="BalloonTextChar">
    <w:name w:val="Balloon Text Char"/>
    <w:basedOn w:val="DefaultParagraphFont"/>
    <w:link w:val="BalloonText"/>
    <w:rsid w:val="00040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1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118"/>
    <w:rPr>
      <w:b/>
      <w:color w:val="660033"/>
      <w:spacing w:val="0"/>
    </w:rPr>
  </w:style>
  <w:style w:type="paragraph" w:customStyle="1" w:styleId="Nameditemlist">
    <w:name w:val="Named item list"/>
    <w:basedOn w:val="BodyText"/>
    <w:qFormat/>
    <w:rsid w:val="00040118"/>
    <w:pPr>
      <w:tabs>
        <w:tab w:val="left" w:pos="2835"/>
      </w:tabs>
      <w:ind w:left="2835" w:hanging="2835"/>
    </w:pPr>
  </w:style>
  <w:style w:type="paragraph" w:customStyle="1" w:styleId="BodyTextnopadding">
    <w:name w:val="Body Text no padding"/>
    <w:basedOn w:val="BodyText"/>
    <w:qFormat/>
    <w:rsid w:val="00040118"/>
    <w:pPr>
      <w:spacing w:before="0" w:after="0"/>
    </w:pPr>
  </w:style>
  <w:style w:type="paragraph" w:customStyle="1" w:styleId="BodyTextBold">
    <w:name w:val="Body Text Bold"/>
    <w:basedOn w:val="BodyText"/>
    <w:qFormat/>
    <w:rsid w:val="00040118"/>
    <w:rPr>
      <w:b/>
    </w:rPr>
  </w:style>
  <w:style w:type="character" w:styleId="Hyperlink">
    <w:name w:val="Hyperlink"/>
    <w:basedOn w:val="DefaultParagraphFont"/>
    <w:uiPriority w:val="99"/>
    <w:unhideWhenUsed/>
    <w:rsid w:val="003D2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1624</Words>
  <Characters>10953</Characters>
  <Application>Microsoft Office Word</Application>
  <DocSecurity>0</DocSecurity>
  <Lines>342</Lines>
  <Paragraphs>179</Paragraphs>
  <ScaleCrop>false</ScaleCrop>
  <Company>Author-it Software Corporation Ltd.</Company>
  <LinksUpToDate>false</LinksUpToDate>
  <CharactersWithSpaces>12398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MEM10022 Commission and decommission high and low voltage equipment or installations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