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0D0" w:rsidP="00AA50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MEM10018 Select cable types and sizes to suit loads and electrical installation environment</w:t>
      </w:r>
      <w:r>
        <w:fldChar w:fldCharType="end"/>
      </w:r>
    </w:p>
    <w:p w:rsidR="00AA50D0" w:rsidP="00AA50D0">
      <w:pPr>
        <w:pStyle w:val="Version"/>
        <w:sectPr w:rsidSect="007C7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7704" w:rsidP="007C7704">
      <w:pPr>
        <w:pStyle w:val="SuperHeading"/>
      </w:pPr>
      <w:r w:rsidRPr="007C7704">
        <w:t>Assessment Requirements for MEM10018 Select cable types and sizes to suit loads and electrical installation environment</w:t>
      </w:r>
    </w:p>
    <w:p w:rsidR="00000000" w:rsidRPr="007C7704" w:rsidP="007C7704">
      <w:pPr>
        <w:pStyle w:val="Heading1"/>
      </w:pPr>
      <w:bookmarkStart w:id="1" w:name="O_924291"/>
      <w:bookmarkEnd w:id="1"/>
      <w:r w:rsidRPr="007C7704">
        <w:t>Modification History</w:t>
      </w:r>
    </w:p>
    <w:p w:rsidR="00000000" w:rsidRPr="007C7704" w:rsidP="00AA50D0">
      <w:pPr>
        <w:pStyle w:val="BodyText"/>
      </w:pPr>
      <w:r w:rsidRPr="007C7704">
        <w:t>Release 2. Minor adjustments to reflect ERAC requirements for electrician licensing and revision of Essential Performance Capabilities</w:t>
      </w:r>
    </w:p>
    <w:p w:rsidR="00000000" w:rsidRPr="007C7704" w:rsidP="00AA50D0">
      <w:pPr>
        <w:pStyle w:val="BodyText"/>
      </w:pPr>
      <w:r w:rsidRPr="007C7704">
        <w:t>Release 1. New unit</w:t>
      </w:r>
    </w:p>
    <w:p w:rsidR="00000000" w:rsidRPr="007C7704" w:rsidP="007C7704">
      <w:pPr>
        <w:pStyle w:val="Heading1"/>
      </w:pPr>
      <w:bookmarkStart w:id="2" w:name="O_924290"/>
      <w:bookmarkEnd w:id="2"/>
      <w:r w:rsidRPr="007C7704">
        <w:t>Performance Evidence</w:t>
      </w:r>
    </w:p>
    <w:p w:rsidR="00000000" w:rsidRPr="007C7704" w:rsidP="00AA50D0">
      <w:pPr>
        <w:pStyle w:val="BodyText"/>
      </w:pPr>
      <w:r w:rsidRPr="007C7704">
        <w:t>Evidence required to demonstrate competence in this unit must b</w:t>
      </w:r>
      <w:r w:rsidRPr="007C7704">
        <w:t>e relevant to and satisfy the requirements of the elements and performance criteria on at least two (2) occasions and include:</w:t>
      </w:r>
    </w:p>
    <w:p w:rsidR="00000000" w:rsidRPr="007C7704" w:rsidP="007C7704">
      <w:pPr>
        <w:pStyle w:val="ListBullet"/>
      </w:pPr>
      <w:r w:rsidRPr="007C7704">
        <w:t xml:space="preserve">following work instructions, standard operating procedures (SOPs) and safe work practices </w:t>
      </w:r>
    </w:p>
    <w:p w:rsidR="00000000" w:rsidRPr="007C7704" w:rsidP="007C7704">
      <w:pPr>
        <w:pStyle w:val="ListBullet"/>
      </w:pPr>
      <w:r w:rsidRPr="007C7704">
        <w:t>identifying and interpreting circuits</w:t>
      </w:r>
      <w:r w:rsidRPr="007C7704">
        <w:t>, drawings, plans and specifications relevant to the work to be undertaken</w:t>
      </w:r>
    </w:p>
    <w:p w:rsidR="00000000" w:rsidRPr="007C7704" w:rsidP="007C7704">
      <w:pPr>
        <w:pStyle w:val="ListBullet"/>
      </w:pPr>
      <w:r w:rsidRPr="007C7704">
        <w:t>determining the cable routes, length and conditions in which the wiring system is to operate</w:t>
      </w:r>
    </w:p>
    <w:p w:rsidR="00000000" w:rsidRPr="007C7704" w:rsidP="007C7704">
      <w:pPr>
        <w:pStyle w:val="ListBullet"/>
      </w:pPr>
      <w:r w:rsidRPr="007C7704">
        <w:t>complying with relevant Australian/New Zealand Wiring Rules, Cable Selection and Service</w:t>
      </w:r>
      <w:r w:rsidRPr="007C7704">
        <w:t xml:space="preserve"> Rules when selecting cables ensuring coordination between protective devices and conductors in regard to the following aspects:</w:t>
      </w:r>
    </w:p>
    <w:p w:rsidR="00000000" w:rsidRPr="007C7704" w:rsidP="007C7704">
      <w:pPr>
        <w:pStyle w:val="ListBullet2"/>
      </w:pPr>
      <w:r w:rsidRPr="007C7704">
        <w:t>design of the circuit taking into account the safety considerations</w:t>
      </w:r>
    </w:p>
    <w:p w:rsidR="00000000" w:rsidRPr="007C7704" w:rsidP="007C7704">
      <w:pPr>
        <w:pStyle w:val="ListBullet2"/>
      </w:pPr>
      <w:r w:rsidRPr="007C7704">
        <w:t>determining the final subcircuit arrangements</w:t>
      </w:r>
    </w:p>
    <w:p w:rsidR="00000000" w:rsidRPr="007C7704" w:rsidP="007C7704">
      <w:pPr>
        <w:pStyle w:val="ListBullet2"/>
      </w:pPr>
      <w:r w:rsidRPr="007C7704">
        <w:t xml:space="preserve">determining </w:t>
      </w:r>
      <w:r w:rsidRPr="007C7704">
        <w:t>the factors affecting suitability of wiring systems</w:t>
      </w:r>
    </w:p>
    <w:p w:rsidR="00000000" w:rsidRPr="007C7704" w:rsidP="007C7704">
      <w:pPr>
        <w:pStyle w:val="ListBullet2"/>
      </w:pPr>
      <w:r w:rsidRPr="007C7704">
        <w:t>calculating the maximum demand on consumer mains/submains</w:t>
      </w:r>
    </w:p>
    <w:p w:rsidR="00000000" w:rsidRPr="007C7704" w:rsidP="007C7704">
      <w:pPr>
        <w:pStyle w:val="ListBullet2"/>
      </w:pPr>
      <w:r w:rsidRPr="007C7704">
        <w:t>calculating the current-carrying capacity requirements</w:t>
      </w:r>
    </w:p>
    <w:p w:rsidR="00000000" w:rsidRPr="007C7704" w:rsidP="007C7704">
      <w:pPr>
        <w:pStyle w:val="ListBullet2"/>
      </w:pPr>
      <w:r w:rsidRPr="007C7704">
        <w:t>calculating the voltage drop requirements</w:t>
      </w:r>
    </w:p>
    <w:p w:rsidR="00000000" w:rsidRPr="007C7704" w:rsidP="007C7704">
      <w:pPr>
        <w:pStyle w:val="ListBullet2"/>
      </w:pPr>
      <w:r w:rsidRPr="007C7704">
        <w:t xml:space="preserve">calculating the expected fault loop impedance </w:t>
      </w:r>
    </w:p>
    <w:p w:rsidR="00000000" w:rsidRPr="007C7704" w:rsidP="007C7704">
      <w:pPr>
        <w:pStyle w:val="ListBullet2"/>
      </w:pPr>
      <w:r w:rsidRPr="007C7704">
        <w:t>selecting cables to satisfy voltage drop, current-carrying capacity and fault loop impedance requirements</w:t>
      </w:r>
    </w:p>
    <w:p w:rsidR="00000000" w:rsidRPr="007C7704" w:rsidP="007C7704">
      <w:pPr>
        <w:pStyle w:val="ListBullet2"/>
      </w:pPr>
      <w:r w:rsidRPr="007C7704">
        <w:t>selecting the appropriate protection devices</w:t>
      </w:r>
    </w:p>
    <w:p w:rsidR="00000000" w:rsidRPr="007C7704" w:rsidP="007C7704">
      <w:pPr>
        <w:pStyle w:val="ListBullet2"/>
      </w:pPr>
      <w:r w:rsidRPr="007C7704">
        <w:t>selecting the appropriate isolation devices and switching arrangements</w:t>
      </w:r>
    </w:p>
    <w:p w:rsidR="00000000" w:rsidRPr="007C7704" w:rsidP="007C7704">
      <w:pPr>
        <w:pStyle w:val="ListBullet"/>
      </w:pPr>
      <w:r w:rsidRPr="007C7704">
        <w:t>selecting earthing system parts t</w:t>
      </w:r>
      <w:r w:rsidRPr="007C7704">
        <w:t xml:space="preserve">o meet the multiple earthed neutral (MEN) system </w:t>
      </w:r>
    </w:p>
    <w:p w:rsidR="00000000" w:rsidRPr="007C7704" w:rsidP="007C7704">
      <w:pPr>
        <w:pStyle w:val="ListBullet"/>
      </w:pPr>
      <w:r w:rsidRPr="007C7704">
        <w:t>documenting reasons for selection and installation requirements in accordance with SOPs.</w:t>
      </w:r>
    </w:p>
    <w:p w:rsidR="00000000" w:rsidRPr="007C7704" w:rsidP="007C7704">
      <w:pPr>
        <w:pStyle w:val="AllowPageBreak"/>
      </w:pPr>
    </w:p>
    <w:p w:rsidR="00000000" w:rsidRPr="007C7704" w:rsidP="007C7704">
      <w:pPr>
        <w:pStyle w:val="Heading1"/>
      </w:pPr>
      <w:bookmarkStart w:id="3" w:name="O_924289"/>
      <w:bookmarkEnd w:id="3"/>
      <w:r w:rsidRPr="007C7704">
        <w:t>Knowledge Evidence</w:t>
      </w:r>
    </w:p>
    <w:p w:rsidR="00000000" w:rsidRPr="007C7704" w:rsidP="00AA50D0">
      <w:pPr>
        <w:pStyle w:val="BodyText"/>
      </w:pPr>
      <w:r w:rsidRPr="007C7704">
        <w:t>Evidence required to demonstrate the required knowledge for this unit must be rel</w:t>
      </w:r>
      <w:r w:rsidRPr="007C7704">
        <w:t>evant to and satisfy the requirements of the elements and performance criteria and include knowledge of:</w:t>
      </w:r>
    </w:p>
    <w:p w:rsidR="00000000" w:rsidRPr="007C7704" w:rsidP="007C7704">
      <w:pPr>
        <w:pStyle w:val="ListBullet"/>
      </w:pPr>
      <w:r w:rsidRPr="007C7704">
        <w:t>safe work practices and procedures and use of personal protective equipment (PPE)</w:t>
      </w:r>
    </w:p>
    <w:p w:rsidR="00000000" w:rsidRPr="007C7704" w:rsidP="007C7704">
      <w:pPr>
        <w:pStyle w:val="ListBullet"/>
      </w:pPr>
      <w:r w:rsidRPr="007C7704">
        <w:t>Australian/New Zealand Wiring Rules, AS/NZS 3008.1.1:2009 Electrical</w:t>
      </w:r>
      <w:r w:rsidRPr="007C7704">
        <w:t xml:space="preserve"> Installations – Selection of cables – Cables for alternating voltages up to and including 0.6/1 kV – typical Australian installation conditions and other related standards in regards to the following:</w:t>
      </w:r>
    </w:p>
    <w:p w:rsidR="00000000" w:rsidRPr="007C7704" w:rsidP="007C7704">
      <w:pPr>
        <w:pStyle w:val="ListBullet2"/>
      </w:pPr>
      <w:r w:rsidRPr="007C7704">
        <w:t>design and safety performance requirements, including:</w:t>
      </w:r>
    </w:p>
    <w:p w:rsidR="00000000" w:rsidRPr="007C7704" w:rsidP="007C7704">
      <w:pPr>
        <w:pStyle w:val="ListBullet3"/>
      </w:pPr>
      <w:r w:rsidRPr="007C7704">
        <w:t>protection of persons, livestock and property from harmful effects</w:t>
      </w:r>
    </w:p>
    <w:p w:rsidR="00000000" w:rsidRPr="007C7704" w:rsidP="007C7704">
      <w:pPr>
        <w:pStyle w:val="ListBullet3"/>
      </w:pPr>
      <w:r w:rsidRPr="007C7704">
        <w:t>correct functioning of the electrical installation for intended use</w:t>
      </w:r>
    </w:p>
    <w:p w:rsidR="00000000" w:rsidRPr="007C7704" w:rsidP="007C7704">
      <w:pPr>
        <w:pStyle w:val="ListBullet3"/>
      </w:pPr>
      <w:r w:rsidRPr="007C7704">
        <w:t xml:space="preserve">compatibility with the electricity distribution system, or other </w:t>
      </w:r>
      <w:r w:rsidRPr="007C7704">
        <w:t>source of supply, to which the electrical installation is to be connected</w:t>
      </w:r>
    </w:p>
    <w:p w:rsidR="00000000" w:rsidRPr="007C7704" w:rsidP="007C7704">
      <w:pPr>
        <w:pStyle w:val="ListBullet3"/>
      </w:pPr>
      <w:r w:rsidRPr="007C7704">
        <w:t>type of insulation required:</w:t>
      </w:r>
    </w:p>
    <w:p w:rsidR="00000000" w:rsidRPr="007C7704" w:rsidP="007C7704">
      <w:pPr>
        <w:pStyle w:val="ListBullet4"/>
      </w:pPr>
      <w:r w:rsidRPr="007C7704">
        <w:t>thermoplastic</w:t>
      </w:r>
    </w:p>
    <w:p w:rsidR="00000000" w:rsidRPr="007C7704" w:rsidP="007C7704">
      <w:pPr>
        <w:pStyle w:val="ListBullet4"/>
      </w:pPr>
      <w:r w:rsidRPr="007C7704">
        <w:t>elastomer</w:t>
      </w:r>
    </w:p>
    <w:p w:rsidR="00000000" w:rsidRPr="007C7704" w:rsidP="007C7704">
      <w:pPr>
        <w:pStyle w:val="ListBullet4"/>
      </w:pPr>
      <w:r w:rsidRPr="007C7704">
        <w:t>cross-linked polyethylene (XLPE)</w:t>
      </w:r>
    </w:p>
    <w:p w:rsidR="00000000" w:rsidRPr="007C7704" w:rsidP="007C7704">
      <w:pPr>
        <w:pStyle w:val="ListBullet4"/>
      </w:pPr>
      <w:r w:rsidRPr="007C7704">
        <w:t>mineral-insulated metal sheath (MIMS)</w:t>
      </w:r>
    </w:p>
    <w:p w:rsidR="00000000" w:rsidRPr="007C7704" w:rsidP="007C7704">
      <w:pPr>
        <w:pStyle w:val="ListBullet4"/>
      </w:pPr>
      <w:r w:rsidRPr="007C7704">
        <w:t>high temperature</w:t>
      </w:r>
    </w:p>
    <w:p w:rsidR="00000000" w:rsidRPr="007C7704" w:rsidP="007C7704">
      <w:pPr>
        <w:pStyle w:val="ListBullet3"/>
      </w:pPr>
      <w:r w:rsidRPr="007C7704">
        <w:t>supply characteristics</w:t>
      </w:r>
    </w:p>
    <w:p w:rsidR="00000000" w:rsidRPr="007C7704" w:rsidP="007C7704">
      <w:pPr>
        <w:pStyle w:val="ListBullet3"/>
      </w:pPr>
      <w:r w:rsidRPr="007C7704">
        <w:t>reasons for dividing installations into circuits and factors that determine their number and type</w:t>
      </w:r>
    </w:p>
    <w:p w:rsidR="00000000" w:rsidRPr="007C7704" w:rsidP="007C7704">
      <w:pPr>
        <w:pStyle w:val="ListBullet3"/>
      </w:pPr>
      <w:r w:rsidRPr="007C7704">
        <w:t>external influences that may damage installation and be considered in the design, including applying derating factors caused by the effect of:</w:t>
      </w:r>
    </w:p>
    <w:p w:rsidR="00000000" w:rsidRPr="007C7704" w:rsidP="007C7704">
      <w:pPr>
        <w:pStyle w:val="ListBullet4"/>
      </w:pPr>
      <w:r w:rsidRPr="007C7704">
        <w:t>grouping of ca</w:t>
      </w:r>
      <w:r w:rsidRPr="007C7704">
        <w:t>bles</w:t>
      </w:r>
    </w:p>
    <w:p w:rsidR="00000000" w:rsidRPr="007C7704" w:rsidP="007C7704">
      <w:pPr>
        <w:pStyle w:val="ListBullet4"/>
      </w:pPr>
      <w:r w:rsidRPr="007C7704">
        <w:t>ambient temperature</w:t>
      </w:r>
    </w:p>
    <w:p w:rsidR="00000000" w:rsidRPr="007C7704" w:rsidP="007C7704">
      <w:pPr>
        <w:pStyle w:val="ListBullet4"/>
      </w:pPr>
      <w:r w:rsidRPr="007C7704">
        <w:t>depth of laying</w:t>
      </w:r>
    </w:p>
    <w:p w:rsidR="00000000" w:rsidRPr="007C7704" w:rsidP="007C7704">
      <w:pPr>
        <w:pStyle w:val="ListBullet4"/>
      </w:pPr>
      <w:r w:rsidRPr="007C7704">
        <w:t>thermal resistivity of soil</w:t>
      </w:r>
    </w:p>
    <w:p w:rsidR="00000000" w:rsidRPr="007C7704" w:rsidP="007C7704">
      <w:pPr>
        <w:pStyle w:val="ListBullet4"/>
      </w:pPr>
      <w:r w:rsidRPr="007C7704">
        <w:t>varying of loads</w:t>
      </w:r>
    </w:p>
    <w:p w:rsidR="00000000" w:rsidRPr="007C7704" w:rsidP="007C7704">
      <w:pPr>
        <w:pStyle w:val="ListBullet4"/>
      </w:pPr>
      <w:r w:rsidRPr="007C7704">
        <w:t xml:space="preserve">thermal insulation </w:t>
      </w:r>
    </w:p>
    <w:p w:rsidR="00000000" w:rsidRPr="007C7704" w:rsidP="007C7704">
      <w:pPr>
        <w:pStyle w:val="ListBullet4"/>
      </w:pPr>
      <w:r w:rsidRPr="007C7704">
        <w:t>direct sunlight</w:t>
      </w:r>
    </w:p>
    <w:p w:rsidR="00000000" w:rsidRPr="007C7704" w:rsidP="007C7704">
      <w:pPr>
        <w:pStyle w:val="ListBullet3"/>
      </w:pPr>
      <w:r w:rsidRPr="007C7704">
        <w:t>acceptable methods of protection against risks of ignition of flammable materials</w:t>
      </w:r>
    </w:p>
    <w:p w:rsidR="00000000" w:rsidRPr="007C7704" w:rsidP="007C7704">
      <w:pPr>
        <w:pStyle w:val="ListBullet3"/>
      </w:pPr>
      <w:r w:rsidRPr="007C7704">
        <w:t>likely sources of unwanted voltages and methods of dealing with this potential hazard</w:t>
      </w:r>
    </w:p>
    <w:p w:rsidR="00000000" w:rsidRPr="007C7704" w:rsidP="007C7704">
      <w:pPr>
        <w:pStyle w:val="ListBullet3"/>
      </w:pPr>
      <w:r w:rsidRPr="007C7704">
        <w:t>requirements for protection against fault current</w:t>
      </w:r>
    </w:p>
    <w:p w:rsidR="00000000" w:rsidRPr="007C7704" w:rsidP="007C7704">
      <w:pPr>
        <w:pStyle w:val="ListBullet3"/>
      </w:pPr>
      <w:r w:rsidRPr="007C7704">
        <w:t>protection against harmful effects of faults between live parts of circuits supplied at different voltages</w:t>
      </w:r>
    </w:p>
    <w:p w:rsidR="00000000" w:rsidRPr="007C7704" w:rsidP="007C7704">
      <w:pPr>
        <w:pStyle w:val="ListBullet3"/>
      </w:pPr>
      <w:r w:rsidRPr="007C7704">
        <w:t>mechanical mo</w:t>
      </w:r>
      <w:r w:rsidRPr="007C7704">
        <w:t>vement protection</w:t>
      </w:r>
    </w:p>
    <w:p w:rsidR="00000000" w:rsidRPr="007C7704" w:rsidP="007C7704">
      <w:pPr>
        <w:pStyle w:val="ListBullet3"/>
      </w:pPr>
      <w:r w:rsidRPr="007C7704">
        <w:t>fire rated construction and how integrity of fire rating can be maintained</w:t>
      </w:r>
    </w:p>
    <w:p w:rsidR="00000000" w:rsidRPr="007C7704" w:rsidP="007C7704">
      <w:pPr>
        <w:pStyle w:val="ListBullet2"/>
      </w:pPr>
      <w:r w:rsidRPr="007C7704">
        <w:t>final subcircuit arrangements, including:</w:t>
      </w:r>
    </w:p>
    <w:p w:rsidR="00000000" w:rsidRPr="007C7704" w:rsidP="007C7704">
      <w:pPr>
        <w:pStyle w:val="ListBullet3"/>
      </w:pPr>
      <w:r w:rsidRPr="007C7704">
        <w:t>factors to consider when determining the number and type of circuits required</w:t>
      </w:r>
    </w:p>
    <w:p w:rsidR="00000000" w:rsidRPr="007C7704" w:rsidP="007C7704">
      <w:pPr>
        <w:pStyle w:val="ListBullet3"/>
      </w:pPr>
      <w:r w:rsidRPr="007C7704">
        <w:t>daily and seasonal demand for lighting, power, heating and other loads in a given installation</w:t>
      </w:r>
    </w:p>
    <w:p w:rsidR="00000000" w:rsidRPr="007C7704" w:rsidP="007C7704">
      <w:pPr>
        <w:pStyle w:val="ListBullet3"/>
      </w:pPr>
      <w:r w:rsidRPr="007C7704">
        <w:t>factors affecting current-carrying capacity of cables</w:t>
      </w:r>
    </w:p>
    <w:p w:rsidR="00000000" w:rsidRPr="007C7704" w:rsidP="007C7704">
      <w:pPr>
        <w:pStyle w:val="ListBullet3"/>
      </w:pPr>
      <w:r w:rsidRPr="007C7704">
        <w:t>layout/schedule of circuits</w:t>
      </w:r>
    </w:p>
    <w:p w:rsidR="00000000" w:rsidRPr="007C7704" w:rsidP="007C7704">
      <w:pPr>
        <w:pStyle w:val="ListBullet2"/>
      </w:pPr>
      <w:r w:rsidRPr="007C7704">
        <w:t>factors affecting suitability of wiring systems</w:t>
      </w:r>
    </w:p>
    <w:p w:rsidR="00000000" w:rsidRPr="007C7704" w:rsidP="007C7704">
      <w:pPr>
        <w:pStyle w:val="ListBullet2"/>
      </w:pPr>
      <w:r w:rsidRPr="007C7704">
        <w:t>acceptable methods of determin</w:t>
      </w:r>
      <w:r w:rsidRPr="007C7704">
        <w:t>ing maximum demand on an installation’s consumer’s mains and submains up to 400 A per phase</w:t>
      </w:r>
    </w:p>
    <w:p w:rsidR="00000000" w:rsidRPr="007C7704" w:rsidP="007C7704">
      <w:pPr>
        <w:pStyle w:val="ListBullet2"/>
      </w:pPr>
      <w:r w:rsidRPr="007C7704">
        <w:t>external factors that require the use of a derating factor when determining current-carrying capacity</w:t>
      </w:r>
    </w:p>
    <w:p w:rsidR="00000000" w:rsidRPr="007C7704" w:rsidP="007C7704">
      <w:pPr>
        <w:pStyle w:val="ListBullet2"/>
      </w:pPr>
      <w:r w:rsidRPr="007C7704">
        <w:t>requirements for maximum voltage drop in an installation and r</w:t>
      </w:r>
      <w:r w:rsidRPr="007C7704">
        <w:t>elevant tables for unit values of voltage drop</w:t>
      </w:r>
    </w:p>
    <w:p w:rsidR="00000000" w:rsidRPr="007C7704" w:rsidP="007C7704">
      <w:pPr>
        <w:pStyle w:val="ListBullet2"/>
      </w:pPr>
      <w:r w:rsidRPr="007C7704">
        <w:t>requirements for maximum fault loop impedance in an installation and the relevant tables to determine cable impedances</w:t>
      </w:r>
    </w:p>
    <w:p w:rsidR="00000000" w:rsidRPr="007C7704" w:rsidP="007C7704">
      <w:pPr>
        <w:pStyle w:val="ListBullet2"/>
      </w:pPr>
      <w:r w:rsidRPr="007C7704">
        <w:t>accepted methods used against indirect contact when selecting protection devices to protec</w:t>
      </w:r>
      <w:r w:rsidRPr="007C7704">
        <w:t>t against overload and short circuit current situations</w:t>
      </w:r>
    </w:p>
    <w:p w:rsidR="00000000" w:rsidRPr="007C7704" w:rsidP="007C7704">
      <w:pPr>
        <w:pStyle w:val="ListBullet2"/>
      </w:pPr>
      <w:r w:rsidRPr="007C7704">
        <w:t>provision of isolation of every circuit for a range of installations and conditions</w:t>
      </w:r>
    </w:p>
    <w:p w:rsidR="00000000" w:rsidRPr="007C7704" w:rsidP="007C7704">
      <w:pPr>
        <w:pStyle w:val="ListBullet2"/>
      </w:pPr>
      <w:r w:rsidRPr="007C7704">
        <w:t>earthing system parts including the selection of earth electrode, main earthing conductor, main earthing terminal/co</w:t>
      </w:r>
      <w:r w:rsidRPr="007C7704">
        <w:t xml:space="preserve">nnection or bar, MEN link, protective earthing conductors and equipotential bonding </w:t>
      </w:r>
    </w:p>
    <w:p w:rsidR="00000000" w:rsidRPr="007C7704" w:rsidP="007C7704">
      <w:pPr>
        <w:pStyle w:val="ListBullet"/>
      </w:pPr>
      <w:r w:rsidRPr="007C7704">
        <w:t>effects of harmonic current on current-carrying capacity</w:t>
      </w:r>
    </w:p>
    <w:p w:rsidR="00000000" w:rsidRPr="007C7704" w:rsidP="007C7704">
      <w:pPr>
        <w:pStyle w:val="ListBullet"/>
      </w:pPr>
      <w:r w:rsidRPr="007C7704">
        <w:t>conditions where short circuit performance may need to be considered.</w:t>
      </w:r>
    </w:p>
    <w:p w:rsidR="00000000" w:rsidRPr="007C7704" w:rsidP="007C7704">
      <w:pPr>
        <w:pStyle w:val="AllowPageBreak"/>
      </w:pPr>
    </w:p>
    <w:p w:rsidR="00000000" w:rsidRPr="007C7704" w:rsidP="007C7704">
      <w:pPr>
        <w:pStyle w:val="Heading1"/>
      </w:pPr>
      <w:bookmarkStart w:id="4" w:name="O_924288"/>
      <w:bookmarkEnd w:id="4"/>
      <w:r w:rsidRPr="007C7704">
        <w:t>Assessment Conditions</w:t>
      </w:r>
    </w:p>
    <w:p w:rsidR="00000000" w:rsidRPr="007C7704" w:rsidP="007C7704">
      <w:pPr>
        <w:pStyle w:val="ListBullet"/>
      </w:pPr>
      <w:r w:rsidRPr="007C7704">
        <w:t>Assessors must:</w:t>
      </w:r>
    </w:p>
    <w:p w:rsidR="00000000" w:rsidRPr="007C7704" w:rsidP="007C7704">
      <w:pPr>
        <w:pStyle w:val="ListBullet2"/>
      </w:pPr>
      <w:r w:rsidRPr="007C7704">
        <w:t>have vocational competency in selecting cable types and sizes to suit loads and electrical installation environment at least to the level being assessed with relevant industry knowledge and experience</w:t>
      </w:r>
    </w:p>
    <w:p w:rsidR="00000000" w:rsidRPr="007C7704" w:rsidP="007C7704">
      <w:pPr>
        <w:pStyle w:val="ListBullet2"/>
      </w:pPr>
      <w:r w:rsidRPr="007C7704">
        <w:t>satisfy the assessor requirements in t</w:t>
      </w:r>
      <w:r w:rsidRPr="007C7704">
        <w:t xml:space="preserve">he </w:t>
      </w:r>
      <w:r w:rsidRPr="007C7704">
        <w:rPr>
          <w:rStyle w:val="Emphasis"/>
        </w:rPr>
        <w:t xml:space="preserve">Standards for Registered Training Organisations 2015 </w:t>
      </w:r>
      <w:r w:rsidRPr="007C7704">
        <w:t xml:space="preserve">and comply with the </w:t>
      </w:r>
      <w:r w:rsidRPr="007C7704">
        <w:rPr>
          <w:rStyle w:val="Emphasis"/>
        </w:rPr>
        <w:t>National Vocational Education and Training Regulator Act 2011</w:t>
      </w:r>
      <w:r w:rsidRPr="007C7704">
        <w:t xml:space="preserve"> or equivalent legislation covering VET regulation in a non-referring State as the case requires.</w:t>
      </w:r>
    </w:p>
    <w:p w:rsidR="00000000" w:rsidRPr="007C7704" w:rsidP="007C7704">
      <w:pPr>
        <w:pStyle w:val="ListBullet"/>
      </w:pPr>
      <w:r w:rsidRPr="007C7704">
        <w:t>Where possible asses</w:t>
      </w:r>
      <w:r w:rsidRPr="007C7704">
        <w:t>sment must occur in operational workplace situations. Where this is not possible or where personal safety or environmental damage are limiting factors, assessment must occur in a sufficiently rigorous simulated environment that reflects realistic operation</w:t>
      </w:r>
      <w:r w:rsidRPr="007C7704">
        <w:t>al workplace conditions. This must cover all aspects of workplace performance, including environment, task skills, task management skills, contingency management skills and job role environment skills.</w:t>
      </w:r>
    </w:p>
    <w:p w:rsidR="00000000" w:rsidRPr="007C7704" w:rsidP="007C7704">
      <w:pPr>
        <w:pStyle w:val="ListBullet"/>
      </w:pPr>
      <w:r w:rsidRPr="007C7704">
        <w:t>Conditions for assessment must include access to all t</w:t>
      </w:r>
      <w:r w:rsidRPr="007C7704">
        <w:t>ools, equipment, materials and documentation required, including relevant workplace procedures, product and manufacturing specifications.</w:t>
      </w:r>
    </w:p>
    <w:p w:rsidR="00000000" w:rsidRPr="007C7704" w:rsidP="007C7704">
      <w:pPr>
        <w:pStyle w:val="ListBullet"/>
      </w:pPr>
      <w:r w:rsidRPr="007C7704">
        <w:t>Assessment processes and techniques must be appropriate to the language, literacy and numeracy requirements of the wor</w:t>
      </w:r>
      <w:r w:rsidRPr="007C7704">
        <w:t>k being performed and the needs of the candidate.</w:t>
      </w:r>
    </w:p>
    <w:p w:rsidR="00000000" w:rsidRPr="007C7704" w:rsidP="007C7704">
      <w:pPr>
        <w:pStyle w:val="AllowPageBreak"/>
      </w:pPr>
    </w:p>
    <w:p w:rsidR="00000000" w:rsidRPr="007C7704" w:rsidP="007C7704">
      <w:pPr>
        <w:pStyle w:val="Heading1"/>
      </w:pPr>
      <w:bookmarkStart w:id="5" w:name="O_924303"/>
      <w:bookmarkEnd w:id="5"/>
      <w:r w:rsidRPr="007C7704">
        <w:t>Links</w:t>
      </w:r>
    </w:p>
    <w:p w:rsidR="00000000" w:rsidRPr="007C7704" w:rsidP="00AA50D0">
      <w:pPr>
        <w:pStyle w:val="BodyText"/>
      </w:pPr>
      <w:r w:rsidRPr="007C77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62CA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C7704" w:rsidP="007C7704"/>
    <w:sectPr w:rsidSect="007C7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04" w:rsidRPr="00AA50D0" w:rsidP="00AA50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D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704" w:rsidRPr="00AA50D0" w:rsidP="00AA50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D0" w:rsidP="007C7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5CE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223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480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704"/>
  </w:style>
  <w:style w:type="character" w:customStyle="1" w:styleId="Heading1Char">
    <w:name w:val="Heading 1 Char"/>
    <w:basedOn w:val="DefaultParagraphFont"/>
    <w:link w:val="Heading1"/>
    <w:rsid w:val="007C7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7704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7704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7704"/>
    <w:rPr>
      <w:i/>
    </w:rPr>
  </w:style>
  <w:style w:type="paragraph" w:customStyle="1" w:styleId="SuperHeading">
    <w:name w:val="SuperHeading"/>
    <w:basedOn w:val="Normal"/>
    <w:rsid w:val="007C7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7704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704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7C7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7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7704"/>
    <w:rPr>
      <w:b/>
      <w:spacing w:val="0"/>
    </w:rPr>
  </w:style>
  <w:style w:type="paragraph" w:customStyle="1" w:styleId="SuperTitle">
    <w:name w:val="SuperTitle"/>
    <w:basedOn w:val="Title"/>
    <w:rsid w:val="007C7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7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7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7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704"/>
  </w:style>
  <w:style w:type="paragraph" w:styleId="TableofFigures">
    <w:name w:val="table of figures"/>
    <w:basedOn w:val="Normal"/>
    <w:next w:val="Normal"/>
    <w:semiHidden/>
    <w:rsid w:val="007C7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704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7C7704"/>
    <w:rPr>
      <w:rFonts w:ascii="Wingdings" w:hAnsi="Wingdings"/>
    </w:rPr>
  </w:style>
  <w:style w:type="paragraph" w:customStyle="1" w:styleId="TableHeading">
    <w:name w:val="Table Heading"/>
    <w:basedOn w:val="HeadingBase"/>
    <w:rsid w:val="007C7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704"/>
    <w:rPr>
      <w:color w:val="0033CC"/>
      <w:u w:val="none"/>
    </w:rPr>
  </w:style>
  <w:style w:type="paragraph" w:customStyle="1" w:styleId="BodyTextRight">
    <w:name w:val="Body Text Right"/>
    <w:basedOn w:val="BodyText"/>
    <w:rsid w:val="007C7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704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704"/>
    <w:rPr>
      <w:sz w:val="32"/>
    </w:rPr>
  </w:style>
  <w:style w:type="paragraph" w:customStyle="1" w:styleId="HeadingProcedure">
    <w:name w:val="Heading Procedure"/>
    <w:basedOn w:val="HeadingBase"/>
    <w:next w:val="Normal"/>
    <w:rsid w:val="007C7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704"/>
    <w:pPr>
      <w:spacing w:before="60" w:after="60"/>
    </w:pPr>
  </w:style>
  <w:style w:type="paragraph" w:styleId="ListContinue">
    <w:name w:val="List Continue"/>
    <w:basedOn w:val="List"/>
    <w:rsid w:val="007C7704"/>
    <w:pPr>
      <w:ind w:firstLine="0"/>
    </w:pPr>
  </w:style>
  <w:style w:type="paragraph" w:customStyle="1" w:styleId="ListNote">
    <w:name w:val="List Note"/>
    <w:basedOn w:val="List"/>
    <w:rsid w:val="007C7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704"/>
    <w:rPr>
      <w:rFonts w:ascii="Courier New" w:hAnsi="Courier New"/>
    </w:rPr>
  </w:style>
  <w:style w:type="paragraph" w:customStyle="1" w:styleId="NoteBullet">
    <w:name w:val="Note Bullet"/>
    <w:basedOn w:val="Note"/>
    <w:rsid w:val="007C7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70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C7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704"/>
    <w:rPr>
      <w:b/>
      <w:smallCaps/>
    </w:rPr>
  </w:style>
  <w:style w:type="paragraph" w:customStyle="1" w:styleId="TableListNumber">
    <w:name w:val="Table List Number"/>
    <w:basedOn w:val="ListNumber"/>
    <w:rsid w:val="007C7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704"/>
    <w:pPr>
      <w:numPr>
        <w:numId w:val="11"/>
      </w:numPr>
    </w:pPr>
  </w:style>
  <w:style w:type="paragraph" w:customStyle="1" w:styleId="ListAlpha2">
    <w:name w:val="List Alpha 2"/>
    <w:basedOn w:val="List2"/>
    <w:rsid w:val="007C7704"/>
    <w:pPr>
      <w:numPr>
        <w:numId w:val="10"/>
      </w:numPr>
    </w:pPr>
  </w:style>
  <w:style w:type="paragraph" w:styleId="List2">
    <w:name w:val="List 2"/>
    <w:basedOn w:val="BodyText"/>
    <w:rsid w:val="007C7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704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7C7704"/>
    <w:pPr>
      <w:numPr>
        <w:numId w:val="6"/>
      </w:numPr>
    </w:pPr>
  </w:style>
  <w:style w:type="paragraph" w:styleId="ListContinue2">
    <w:name w:val="List Continue 2"/>
    <w:basedOn w:val="List2"/>
    <w:rsid w:val="007C7704"/>
    <w:pPr>
      <w:ind w:firstLine="0"/>
    </w:pPr>
  </w:style>
  <w:style w:type="paragraph" w:styleId="ListContinue3">
    <w:name w:val="List Continue 3"/>
    <w:basedOn w:val="List3"/>
    <w:rsid w:val="007C7704"/>
    <w:pPr>
      <w:ind w:left="1021" w:firstLine="0"/>
    </w:pPr>
  </w:style>
  <w:style w:type="paragraph" w:styleId="ListContinue4">
    <w:name w:val="List Continue 4"/>
    <w:basedOn w:val="List4"/>
    <w:rsid w:val="007C7704"/>
    <w:pPr>
      <w:ind w:firstLine="0"/>
    </w:pPr>
  </w:style>
  <w:style w:type="paragraph" w:styleId="ListContinue5">
    <w:name w:val="List Continue 5"/>
    <w:basedOn w:val="List5"/>
    <w:rsid w:val="007C7704"/>
    <w:pPr>
      <w:ind w:firstLine="0"/>
    </w:pPr>
  </w:style>
  <w:style w:type="paragraph" w:styleId="ListNumber3">
    <w:name w:val="List Number 3"/>
    <w:basedOn w:val="List3"/>
    <w:rsid w:val="007C7704"/>
    <w:pPr>
      <w:numPr>
        <w:numId w:val="7"/>
      </w:numPr>
    </w:pPr>
  </w:style>
  <w:style w:type="paragraph" w:styleId="ListNumber4">
    <w:name w:val="List Number 4"/>
    <w:basedOn w:val="List4"/>
    <w:rsid w:val="007C7704"/>
    <w:pPr>
      <w:numPr>
        <w:numId w:val="8"/>
      </w:numPr>
    </w:pPr>
  </w:style>
  <w:style w:type="paragraph" w:styleId="ListNumber5">
    <w:name w:val="List Number 5"/>
    <w:basedOn w:val="List5"/>
    <w:rsid w:val="007C7704"/>
    <w:pPr>
      <w:numPr>
        <w:numId w:val="9"/>
      </w:numPr>
    </w:pPr>
  </w:style>
  <w:style w:type="paragraph" w:styleId="BlockText">
    <w:name w:val="Block Text"/>
    <w:basedOn w:val="Normal"/>
    <w:rsid w:val="007C7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704"/>
    <w:rPr>
      <w:sz w:val="16"/>
      <w:vertAlign w:val="superscript"/>
    </w:rPr>
  </w:style>
  <w:style w:type="character" w:customStyle="1" w:styleId="Symbols">
    <w:name w:val="Symbols"/>
    <w:basedOn w:val="DefaultParagraphFont"/>
    <w:rsid w:val="007C7704"/>
    <w:rPr>
      <w:rFonts w:ascii="Symbol" w:hAnsi="Symbol"/>
    </w:rPr>
  </w:style>
  <w:style w:type="character" w:customStyle="1" w:styleId="MenuOptions">
    <w:name w:val="Menu Options"/>
    <w:basedOn w:val="DefaultParagraphFont"/>
    <w:rsid w:val="007C7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704"/>
    <w:rPr>
      <w:b/>
    </w:rPr>
  </w:style>
  <w:style w:type="character" w:customStyle="1" w:styleId="Underlined">
    <w:name w:val="Underlined"/>
    <w:basedOn w:val="DefaultParagraphFont"/>
    <w:rsid w:val="007C7704"/>
    <w:rPr>
      <w:u w:val="single"/>
    </w:rPr>
  </w:style>
  <w:style w:type="paragraph" w:customStyle="1" w:styleId="TableBodyTextRight">
    <w:name w:val="Table Body Text Right"/>
    <w:basedOn w:val="TableBodyText"/>
    <w:rsid w:val="007C7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704"/>
    <w:rPr>
      <w:sz w:val="18"/>
    </w:rPr>
  </w:style>
  <w:style w:type="paragraph" w:customStyle="1" w:styleId="BodySmallRight">
    <w:name w:val="Body Small Right"/>
    <w:basedOn w:val="BodyTextRight"/>
    <w:rsid w:val="007C7704"/>
    <w:rPr>
      <w:sz w:val="18"/>
      <w:szCs w:val="18"/>
    </w:rPr>
  </w:style>
  <w:style w:type="paragraph" w:customStyle="1" w:styleId="MarginEdition">
    <w:name w:val="Margin Edition"/>
    <w:basedOn w:val="MarginNote"/>
    <w:rsid w:val="007C7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704"/>
    <w:rPr>
      <w:sz w:val="2"/>
      <w:szCs w:val="2"/>
    </w:rPr>
  </w:style>
  <w:style w:type="character" w:customStyle="1" w:styleId="Small">
    <w:name w:val="Small"/>
    <w:basedOn w:val="DefaultParagraphFont"/>
    <w:rsid w:val="007C7704"/>
    <w:rPr>
      <w:sz w:val="16"/>
    </w:rPr>
  </w:style>
  <w:style w:type="paragraph" w:customStyle="1" w:styleId="WideTable">
    <w:name w:val="Wide Table"/>
    <w:basedOn w:val="Normal"/>
    <w:rsid w:val="007C7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704"/>
  </w:style>
  <w:style w:type="paragraph" w:styleId="Quote">
    <w:name w:val="Quote"/>
    <w:basedOn w:val="Heading1"/>
    <w:link w:val="QuoteChar"/>
    <w:qFormat/>
    <w:rsid w:val="007C7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704"/>
    <w:pPr>
      <w:pageBreakBefore/>
    </w:pPr>
  </w:style>
  <w:style w:type="paragraph" w:customStyle="1" w:styleId="Border">
    <w:name w:val="Border"/>
    <w:basedOn w:val="Normal"/>
    <w:qFormat/>
    <w:rsid w:val="007C7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704"/>
    <w:rPr>
      <w:u w:val="single"/>
    </w:rPr>
  </w:style>
  <w:style w:type="character" w:customStyle="1" w:styleId="BoldandItalics">
    <w:name w:val="Bold and Italics"/>
    <w:qFormat/>
    <w:rsid w:val="007C7704"/>
    <w:rPr>
      <w:b/>
      <w:i/>
      <w:u w:val="none"/>
    </w:rPr>
  </w:style>
  <w:style w:type="paragraph" w:styleId="BalloonText">
    <w:name w:val="Balloon Text"/>
    <w:basedOn w:val="Normal"/>
    <w:link w:val="BalloonTextChar"/>
    <w:rsid w:val="007C7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704"/>
    <w:pPr>
      <w:spacing w:before="0" w:after="0"/>
    </w:pPr>
  </w:style>
  <w:style w:type="paragraph" w:customStyle="1" w:styleId="BodyTextBold">
    <w:name w:val="Body Text Bold"/>
    <w:basedOn w:val="BodyText"/>
    <w:qFormat/>
    <w:rsid w:val="007C7704"/>
    <w:rPr>
      <w:b/>
    </w:rPr>
  </w:style>
  <w:style w:type="character" w:styleId="Hyperlink">
    <w:name w:val="Hyperlink"/>
    <w:basedOn w:val="DefaultParagraphFont"/>
    <w:uiPriority w:val="99"/>
    <w:unhideWhenUsed/>
    <w:rsid w:val="00AA50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5917</Characters>
  <Application>Microsoft Office Word</Application>
  <DocSecurity>0</DocSecurity>
  <Lines>128</Lines>
  <Paragraphs>90</Paragraphs>
  <ScaleCrop>false</ScaleCrop>
  <Company>Author-it Software Corporation Ltd.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MEM10018 Select cable types and sizes to suit loads and electrical installation environment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2023-02-03T07:37:00Z</dcterms:created>
  <dcterms:modified xsi:type="dcterms:W3CDTF">2023-02-03T07:37:00Z</dcterms:modified>
</cp:coreProperties>
</file>