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90A" w:rsidP="007D3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MEM10016 Terminate and test electrical wiring and accessories</w:t>
      </w:r>
      <w:r>
        <w:fldChar w:fldCharType="end"/>
      </w:r>
    </w:p>
    <w:p w:rsidR="007D390A" w:rsidP="007D390A">
      <w:pPr>
        <w:pStyle w:val="Version"/>
        <w:sectPr w:rsidSect="00181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1CB2" w:rsidP="00181CB2">
      <w:pPr>
        <w:pStyle w:val="SuperHeading"/>
      </w:pPr>
      <w:r w:rsidRPr="00181CB2">
        <w:t>Assessment Requirements for MEM10016 Terminate and test electrical wiring and accessories</w:t>
      </w:r>
    </w:p>
    <w:p w:rsidR="00000000" w:rsidRPr="00181CB2" w:rsidP="00181CB2">
      <w:pPr>
        <w:pStyle w:val="Heading1"/>
      </w:pPr>
      <w:bookmarkStart w:id="1" w:name="O_968604"/>
      <w:bookmarkEnd w:id="1"/>
      <w:r w:rsidRPr="00181CB2">
        <w:t>Modification History</w:t>
      </w:r>
    </w:p>
    <w:p w:rsidR="00000000" w:rsidRPr="00181CB2" w:rsidP="007D390A">
      <w:pPr>
        <w:pStyle w:val="Heading3"/>
      </w:pPr>
      <w:r w:rsidRPr="00181CB2">
        <w:t>Release 3. Prerequisite units updated</w:t>
      </w:r>
    </w:p>
    <w:p w:rsidR="00000000" w:rsidRPr="00181CB2" w:rsidP="007D390A">
      <w:pPr>
        <w:pStyle w:val="BodyText"/>
      </w:pPr>
      <w:r w:rsidRPr="00181CB2">
        <w:t>Release 2. Minor adjustments to reflect ERAC requirements for electrician licensing and revision of Essential Performance Capabilities</w:t>
      </w:r>
    </w:p>
    <w:p w:rsidR="00000000" w:rsidRPr="00181CB2" w:rsidP="007D390A">
      <w:pPr>
        <w:pStyle w:val="BodyText"/>
      </w:pPr>
      <w:r w:rsidRPr="00181CB2">
        <w:t>Release 1. New unit</w:t>
      </w:r>
    </w:p>
    <w:p w:rsidR="00000000" w:rsidRPr="00181CB2" w:rsidP="00181CB2">
      <w:pPr>
        <w:pStyle w:val="Heading1"/>
      </w:pPr>
      <w:bookmarkStart w:id="2" w:name="O_968603"/>
      <w:bookmarkEnd w:id="2"/>
      <w:r w:rsidRPr="00181CB2">
        <w:t>Performance Evidence</w:t>
      </w:r>
    </w:p>
    <w:p w:rsidR="00000000" w:rsidRPr="00181CB2" w:rsidP="007D390A">
      <w:pPr>
        <w:pStyle w:val="BodyText"/>
      </w:pPr>
      <w:r w:rsidRPr="00181CB2">
        <w:t>Evidence required to demonstrate competence in this unit must b</w:t>
      </w:r>
      <w:r w:rsidRPr="00181CB2">
        <w:t>e relevant to and satisfy the requirements of the elements and performance criteria on at least two (2) occasions and include:</w:t>
      </w:r>
    </w:p>
    <w:p w:rsidR="00000000" w:rsidRPr="00181CB2" w:rsidP="00181CB2">
      <w:pPr>
        <w:pStyle w:val="ListBullet"/>
      </w:pPr>
      <w:r w:rsidRPr="00181CB2">
        <w:t xml:space="preserve">following work instructions, standard operating procedures (SOPs) and safe work practices </w:t>
      </w:r>
    </w:p>
    <w:p w:rsidR="00000000" w:rsidRPr="00181CB2" w:rsidP="00181CB2">
      <w:pPr>
        <w:pStyle w:val="ListBullet"/>
      </w:pPr>
      <w:r w:rsidRPr="00181CB2">
        <w:t>identifying and interpreting circuits</w:t>
      </w:r>
      <w:r w:rsidRPr="00181CB2">
        <w:t>, drawings, plans and specifications relevant to the work to be undertaken</w:t>
      </w:r>
    </w:p>
    <w:p w:rsidR="00000000" w:rsidRPr="00181CB2" w:rsidP="00181CB2">
      <w:pPr>
        <w:pStyle w:val="ListBullet"/>
      </w:pPr>
      <w:r w:rsidRPr="00181CB2">
        <w:t>identifying the cables and cords by conductor size, type and rating</w:t>
      </w:r>
    </w:p>
    <w:p w:rsidR="00000000" w:rsidRPr="00181CB2" w:rsidP="00181CB2">
      <w:pPr>
        <w:pStyle w:val="ListBullet"/>
      </w:pPr>
      <w:r w:rsidRPr="00181CB2">
        <w:t>preparing and terminating cable and cords to accessories using appropriate hardware, tools and equipment, includi</w:t>
      </w:r>
      <w:r w:rsidRPr="00181CB2">
        <w:t>ng soldering without undue damage to insulation or conductor</w:t>
      </w:r>
    </w:p>
    <w:p w:rsidR="00000000" w:rsidRPr="00181CB2" w:rsidP="00181CB2">
      <w:pPr>
        <w:pStyle w:val="ListBullet"/>
      </w:pPr>
      <w:r w:rsidRPr="00181CB2">
        <w:t>preparing and terminating at least five (5) or more of the following cable and cord types at a device terminal enclosure:</w:t>
      </w:r>
    </w:p>
    <w:p w:rsidR="00000000" w:rsidRPr="00181CB2" w:rsidP="00181CB2">
      <w:pPr>
        <w:pStyle w:val="ListBullet2"/>
      </w:pPr>
      <w:r w:rsidRPr="00181CB2">
        <w:t>thermoplastic insulated cable (TPI)</w:t>
      </w:r>
    </w:p>
    <w:p w:rsidR="00000000" w:rsidRPr="00181CB2" w:rsidP="00181CB2">
      <w:pPr>
        <w:pStyle w:val="ListBullet2"/>
      </w:pPr>
      <w:r w:rsidRPr="00181CB2">
        <w:t>flat thermoplastic sheathed (TPS)</w:t>
      </w:r>
    </w:p>
    <w:p w:rsidR="00000000" w:rsidRPr="00181CB2" w:rsidP="00181CB2">
      <w:pPr>
        <w:pStyle w:val="ListBullet2"/>
      </w:pPr>
      <w:r w:rsidRPr="00181CB2">
        <w:t>circular thermoplastic sheathed (TPS)</w:t>
      </w:r>
    </w:p>
    <w:p w:rsidR="00000000" w:rsidRPr="00181CB2" w:rsidP="00181CB2">
      <w:pPr>
        <w:pStyle w:val="ListBullet2"/>
      </w:pPr>
      <w:r w:rsidRPr="00181CB2">
        <w:t>steel wired armoured (SWA)</w:t>
      </w:r>
    </w:p>
    <w:p w:rsidR="00000000" w:rsidRPr="00181CB2" w:rsidP="00181CB2">
      <w:pPr>
        <w:pStyle w:val="ListBullet2"/>
      </w:pPr>
      <w:r w:rsidRPr="00181CB2">
        <w:t>fire rated cable (high tension (HT) or high frequency (HF) or mineral insulated metal sheath (MIMS))</w:t>
      </w:r>
    </w:p>
    <w:p w:rsidR="00000000" w:rsidRPr="00181CB2" w:rsidP="00181CB2">
      <w:pPr>
        <w:pStyle w:val="ListBullet2"/>
      </w:pPr>
      <w:r w:rsidRPr="00181CB2">
        <w:t xml:space="preserve">cross-linked polyethylene (XLPE) cables </w:t>
      </w:r>
    </w:p>
    <w:p w:rsidR="00000000" w:rsidRPr="00181CB2" w:rsidP="00181CB2">
      <w:pPr>
        <w:pStyle w:val="ListBullet2"/>
      </w:pPr>
      <w:r w:rsidRPr="00181CB2">
        <w:t>neutral screened cables</w:t>
      </w:r>
    </w:p>
    <w:p w:rsidR="00000000" w:rsidRPr="00181CB2" w:rsidP="00181CB2">
      <w:pPr>
        <w:pStyle w:val="ListBullet2"/>
      </w:pPr>
      <w:r w:rsidRPr="00181CB2">
        <w:t>flexible cords and cables</w:t>
      </w:r>
    </w:p>
    <w:p w:rsidR="00000000" w:rsidRPr="00181CB2" w:rsidP="00181CB2">
      <w:pPr>
        <w:pStyle w:val="ListBullet2"/>
      </w:pPr>
      <w:r w:rsidRPr="00181CB2">
        <w:t>aluminium conductor/cable</w:t>
      </w:r>
    </w:p>
    <w:p w:rsidR="00000000" w:rsidRPr="00181CB2" w:rsidP="00181CB2">
      <w:pPr>
        <w:pStyle w:val="ListBullet"/>
      </w:pPr>
      <w:r w:rsidRPr="00181CB2">
        <w:t>terminating the above selected cable and cord types into two (2) or more of the following connectors and lugs:</w:t>
      </w:r>
    </w:p>
    <w:p w:rsidR="00000000" w:rsidRPr="00181CB2" w:rsidP="00181CB2">
      <w:pPr>
        <w:pStyle w:val="ListBullet2"/>
      </w:pPr>
      <w:r w:rsidRPr="00181CB2">
        <w:t>connectors:</w:t>
      </w:r>
    </w:p>
    <w:p w:rsidR="00000000" w:rsidRPr="00181CB2" w:rsidP="00181CB2">
      <w:pPr>
        <w:pStyle w:val="ListBullet3"/>
      </w:pPr>
      <w:r w:rsidRPr="00181CB2">
        <w:t>screw</w:t>
      </w:r>
    </w:p>
    <w:p w:rsidR="00000000" w:rsidRPr="00181CB2" w:rsidP="00181CB2">
      <w:pPr>
        <w:pStyle w:val="ListBullet3"/>
      </w:pPr>
      <w:r w:rsidRPr="00181CB2">
        <w:t>stud</w:t>
      </w:r>
    </w:p>
    <w:p w:rsidR="00000000" w:rsidRPr="00181CB2" w:rsidP="00181CB2">
      <w:pPr>
        <w:pStyle w:val="ListBullet3"/>
      </w:pPr>
      <w:r w:rsidRPr="00181CB2">
        <w:t>tunnel</w:t>
      </w:r>
    </w:p>
    <w:p w:rsidR="00000000" w:rsidRPr="00181CB2" w:rsidP="00181CB2">
      <w:pPr>
        <w:pStyle w:val="ListBullet2"/>
      </w:pPr>
      <w:r w:rsidRPr="00181CB2">
        <w:t>lugs:</w:t>
      </w:r>
    </w:p>
    <w:p w:rsidR="00000000" w:rsidRPr="00181CB2" w:rsidP="00181CB2">
      <w:pPr>
        <w:pStyle w:val="ListBullet3"/>
      </w:pPr>
      <w:r w:rsidRPr="00181CB2">
        <w:t>crimp and compression</w:t>
      </w:r>
    </w:p>
    <w:p w:rsidR="00000000" w:rsidRPr="00181CB2" w:rsidP="00181CB2">
      <w:pPr>
        <w:pStyle w:val="ListBullet3"/>
      </w:pPr>
      <w:r w:rsidRPr="00181CB2">
        <w:t>soldering</w:t>
      </w:r>
    </w:p>
    <w:p w:rsidR="00000000" w:rsidRPr="00181CB2" w:rsidP="00181CB2">
      <w:pPr>
        <w:pStyle w:val="ListBullet3"/>
      </w:pPr>
      <w:r w:rsidRPr="00181CB2">
        <w:t>solderless</w:t>
      </w:r>
    </w:p>
    <w:p w:rsidR="00000000" w:rsidRPr="00181CB2" w:rsidP="00181CB2">
      <w:pPr>
        <w:pStyle w:val="ListBullet"/>
      </w:pPr>
      <w:r w:rsidRPr="00181CB2">
        <w:t xml:space="preserve">maintaining/achieving required fire rating </w:t>
      </w:r>
    </w:p>
    <w:p w:rsidR="00000000" w:rsidRPr="00181CB2" w:rsidP="00181CB2">
      <w:pPr>
        <w:pStyle w:val="ListBullet"/>
      </w:pPr>
      <w:r w:rsidRPr="00181CB2">
        <w:t>inspecting and testing terminated cables to ensure they comply with continuity and insulation resistance requirements and are safely intended for use</w:t>
      </w:r>
    </w:p>
    <w:p w:rsidR="00000000" w:rsidRPr="00181CB2" w:rsidP="00181CB2">
      <w:pPr>
        <w:pStyle w:val="ListBullet"/>
      </w:pPr>
      <w:r w:rsidRPr="00181CB2">
        <w:t>using test equipment to locate faults, completing remedial action and retesting to ensure compliance</w:t>
      </w:r>
    </w:p>
    <w:p w:rsidR="00000000" w:rsidRPr="00181CB2" w:rsidP="00181CB2">
      <w:pPr>
        <w:pStyle w:val="ListBullet"/>
      </w:pPr>
      <w:r w:rsidRPr="00181CB2">
        <w:t>documenting termination and testing of electrical cables, cords and accessories in accordance with SOPs.</w:t>
      </w:r>
    </w:p>
    <w:p w:rsidR="00000000" w:rsidRPr="00181CB2" w:rsidP="00181CB2">
      <w:pPr>
        <w:pStyle w:val="AllowPageBreak"/>
      </w:pPr>
    </w:p>
    <w:p w:rsidR="00000000" w:rsidRPr="00181CB2" w:rsidP="00181CB2">
      <w:pPr>
        <w:pStyle w:val="Heading1"/>
      </w:pPr>
      <w:bookmarkStart w:id="3" w:name="O_968602"/>
      <w:bookmarkEnd w:id="3"/>
      <w:r w:rsidRPr="00181CB2">
        <w:t>Knowledge Evidence</w:t>
      </w:r>
    </w:p>
    <w:p w:rsidR="00000000" w:rsidRPr="00181CB2" w:rsidP="007D390A">
      <w:pPr>
        <w:pStyle w:val="BodyText"/>
      </w:pPr>
      <w:r w:rsidRPr="00181CB2">
        <w:t>Evidence requi</w:t>
      </w:r>
      <w:r w:rsidRPr="00181CB2">
        <w:t>red to demonstrate the required knowledge for this unit must be relevant to and satisfy the requirements of the elements and performance criteria and include knowledge of:</w:t>
      </w:r>
    </w:p>
    <w:p w:rsidR="00000000" w:rsidRPr="00181CB2" w:rsidP="00181CB2">
      <w:pPr>
        <w:pStyle w:val="ListBullet"/>
      </w:pPr>
      <w:r w:rsidRPr="00181CB2">
        <w:t>safe work practices and procedures and use of personal protective equipment (PPE)</w:t>
      </w:r>
    </w:p>
    <w:p w:rsidR="00000000" w:rsidRPr="00181CB2" w:rsidP="00181CB2">
      <w:pPr>
        <w:pStyle w:val="ListBullet"/>
      </w:pPr>
      <w:r w:rsidRPr="00181CB2">
        <w:t>d</w:t>
      </w:r>
      <w:r w:rsidRPr="00181CB2">
        <w:t>ifferent types of electrical cables and cords and their applications</w:t>
      </w:r>
    </w:p>
    <w:p w:rsidR="00000000" w:rsidRPr="00181CB2" w:rsidP="00181CB2">
      <w:pPr>
        <w:pStyle w:val="ListBullet"/>
      </w:pPr>
      <w:r w:rsidRPr="00181CB2">
        <w:t xml:space="preserve">structural components of cables and their purpose (conductor material, stranding, insulation type, voltage rating, screening, sheathing, armour and serving) </w:t>
      </w:r>
    </w:p>
    <w:p w:rsidR="00000000" w:rsidRPr="00181CB2" w:rsidP="00181CB2">
      <w:pPr>
        <w:pStyle w:val="ListBullet"/>
      </w:pPr>
      <w:r w:rsidRPr="00181CB2">
        <w:t xml:space="preserve">Australian and International </w:t>
      </w:r>
      <w:r w:rsidRPr="00181CB2">
        <w:t>colour standards for cables and cords</w:t>
      </w:r>
    </w:p>
    <w:p w:rsidR="00000000" w:rsidRPr="00181CB2" w:rsidP="00181CB2">
      <w:pPr>
        <w:pStyle w:val="ListBullet"/>
      </w:pPr>
      <w:r w:rsidRPr="00181CB2">
        <w:t>factors affecting cable current-carrying capacity:</w:t>
      </w:r>
    </w:p>
    <w:p w:rsidR="00000000" w:rsidRPr="00181CB2" w:rsidP="00181CB2">
      <w:pPr>
        <w:pStyle w:val="ListBullet2"/>
      </w:pPr>
      <w:r w:rsidRPr="00181CB2">
        <w:t>current requirements for the circuit</w:t>
      </w:r>
    </w:p>
    <w:p w:rsidR="00000000" w:rsidRPr="00181CB2" w:rsidP="00181CB2">
      <w:pPr>
        <w:pStyle w:val="ListBullet2"/>
      </w:pPr>
      <w:r w:rsidRPr="00181CB2">
        <w:t>cable installation method to be used</w:t>
      </w:r>
    </w:p>
    <w:p w:rsidR="00000000" w:rsidRPr="00181CB2" w:rsidP="00181CB2">
      <w:pPr>
        <w:pStyle w:val="ListBullet2"/>
      </w:pPr>
      <w:r w:rsidRPr="00181CB2">
        <w:t xml:space="preserve">environmental conditions in the vicinity of cable installation </w:t>
      </w:r>
    </w:p>
    <w:p w:rsidR="00000000" w:rsidRPr="00181CB2" w:rsidP="00181CB2">
      <w:pPr>
        <w:pStyle w:val="ListBullet"/>
      </w:pPr>
      <w:r w:rsidRPr="00181CB2">
        <w:t>Australian/New Zealand Wiring Rules requirements for flexible cords, cables and plugs</w:t>
      </w:r>
    </w:p>
    <w:p w:rsidR="00000000" w:rsidRPr="00181CB2" w:rsidP="00181CB2">
      <w:pPr>
        <w:pStyle w:val="ListBullet"/>
      </w:pPr>
      <w:r w:rsidRPr="00181CB2">
        <w:t>Australian Standards and manufacture requirements for the termination of:</w:t>
      </w:r>
    </w:p>
    <w:p w:rsidR="00000000" w:rsidRPr="00181CB2" w:rsidP="00181CB2">
      <w:pPr>
        <w:pStyle w:val="ListBullet2"/>
      </w:pPr>
      <w:r w:rsidRPr="00181CB2">
        <w:t>TPS and TPI cables</w:t>
      </w:r>
    </w:p>
    <w:p w:rsidR="00000000" w:rsidRPr="00181CB2" w:rsidP="00181CB2">
      <w:pPr>
        <w:pStyle w:val="ListBullet2"/>
      </w:pPr>
      <w:r w:rsidRPr="00181CB2">
        <w:t>fire protection and MIMS cables</w:t>
      </w:r>
    </w:p>
    <w:p w:rsidR="00000000" w:rsidRPr="00181CB2" w:rsidP="00181CB2">
      <w:pPr>
        <w:pStyle w:val="ListBullet2"/>
      </w:pPr>
      <w:r w:rsidRPr="00181CB2">
        <w:t>SWA</w:t>
      </w:r>
    </w:p>
    <w:p w:rsidR="00000000" w:rsidRPr="00181CB2" w:rsidP="00181CB2">
      <w:pPr>
        <w:pStyle w:val="ListBullet2"/>
      </w:pPr>
      <w:r w:rsidRPr="00181CB2">
        <w:t>trailing cable and catenary wire systems</w:t>
      </w:r>
    </w:p>
    <w:p w:rsidR="00000000" w:rsidRPr="00181CB2" w:rsidP="00181CB2">
      <w:pPr>
        <w:pStyle w:val="ListBullet"/>
      </w:pPr>
      <w:r w:rsidRPr="00181CB2">
        <w:t xml:space="preserve">soft soldering process, including the use of liquid petroleum (LP) gases and precautions to be observed </w:t>
      </w:r>
    </w:p>
    <w:p w:rsidR="00000000" w:rsidRPr="00181CB2" w:rsidP="00181CB2">
      <w:pPr>
        <w:pStyle w:val="ListBullet"/>
      </w:pPr>
      <w:r w:rsidRPr="00181CB2">
        <w:t xml:space="preserve">fire rated cable types, including HT, HF and MIMS and their applications </w:t>
      </w:r>
    </w:p>
    <w:p w:rsidR="00000000" w:rsidRPr="00181CB2" w:rsidP="00181CB2">
      <w:pPr>
        <w:pStyle w:val="ListBullet"/>
      </w:pPr>
      <w:r w:rsidRPr="00181CB2">
        <w:t>types of accessories and their intended use</w:t>
      </w:r>
    </w:p>
    <w:p w:rsidR="00000000" w:rsidRPr="00181CB2" w:rsidP="00181CB2">
      <w:pPr>
        <w:pStyle w:val="ListBullet"/>
      </w:pPr>
      <w:r w:rsidRPr="00181CB2">
        <w:t xml:space="preserve">support, fixing and protection </w:t>
      </w:r>
      <w:r w:rsidRPr="00181CB2">
        <w:t>methods, including:</w:t>
      </w:r>
    </w:p>
    <w:p w:rsidR="00000000" w:rsidRPr="00181CB2" w:rsidP="00181CB2">
      <w:pPr>
        <w:pStyle w:val="ListBullet2"/>
      </w:pPr>
      <w:r w:rsidRPr="00181CB2">
        <w:t>selection and safe application of devices for fixing to timber, metal, hollow structures, masonry and concrete</w:t>
      </w:r>
    </w:p>
    <w:p w:rsidR="00000000" w:rsidRPr="00181CB2" w:rsidP="00181CB2">
      <w:pPr>
        <w:pStyle w:val="ListBullet2"/>
      </w:pPr>
      <w:r w:rsidRPr="00181CB2">
        <w:t>hazards and safety measures when working with adhesives and chemical fixing devices</w:t>
      </w:r>
    </w:p>
    <w:p w:rsidR="00000000" w:rsidRPr="00181CB2" w:rsidP="00181CB2">
      <w:pPr>
        <w:pStyle w:val="ListBullet"/>
      </w:pPr>
      <w:r w:rsidRPr="00181CB2">
        <w:t>safe work methods for:</w:t>
      </w:r>
    </w:p>
    <w:p w:rsidR="00000000" w:rsidRPr="00181CB2" w:rsidP="00181CB2">
      <w:pPr>
        <w:pStyle w:val="ListBullet2"/>
      </w:pPr>
      <w:r w:rsidRPr="00181CB2">
        <w:t xml:space="preserve">using hand and </w:t>
      </w:r>
      <w:r w:rsidRPr="00181CB2">
        <w:t>power tools</w:t>
      </w:r>
    </w:p>
    <w:p w:rsidR="00000000" w:rsidRPr="00181CB2" w:rsidP="00181CB2">
      <w:pPr>
        <w:pStyle w:val="ListBullet2"/>
      </w:pPr>
      <w:r w:rsidRPr="00181CB2">
        <w:t>using powder and compressed gas operated tools</w:t>
      </w:r>
    </w:p>
    <w:p w:rsidR="00000000" w:rsidRPr="00181CB2" w:rsidP="00181CB2">
      <w:pPr>
        <w:pStyle w:val="ListBullet"/>
      </w:pPr>
      <w:r w:rsidRPr="00181CB2">
        <w:t>test requirements to ensure compliant continuity and insulation resistance and documentation to be completed.</w:t>
      </w:r>
    </w:p>
    <w:p w:rsidR="00000000" w:rsidRPr="00181CB2" w:rsidP="00181CB2">
      <w:pPr>
        <w:pStyle w:val="AllowPageBreak"/>
      </w:pPr>
    </w:p>
    <w:p w:rsidR="00000000" w:rsidRPr="00181CB2" w:rsidP="00181CB2">
      <w:pPr>
        <w:pStyle w:val="Heading1"/>
      </w:pPr>
      <w:bookmarkStart w:id="4" w:name="O_968601"/>
      <w:bookmarkEnd w:id="4"/>
      <w:r w:rsidRPr="00181CB2">
        <w:t>Assessment Conditions</w:t>
      </w:r>
    </w:p>
    <w:p w:rsidR="00000000" w:rsidRPr="00181CB2" w:rsidP="00181CB2">
      <w:pPr>
        <w:pStyle w:val="ListBullet"/>
      </w:pPr>
      <w:r w:rsidRPr="00181CB2">
        <w:t>Assessors must:</w:t>
      </w:r>
    </w:p>
    <w:p w:rsidR="00000000" w:rsidRPr="00181CB2" w:rsidP="00181CB2">
      <w:pPr>
        <w:pStyle w:val="ListBullet2"/>
      </w:pPr>
      <w:r w:rsidRPr="00181CB2">
        <w:t>have vocational competency in terminating and testing electrical wiring and accessories at least to the level being assessed with relevant industry knowledge and experience</w:t>
      </w:r>
    </w:p>
    <w:p w:rsidR="00000000" w:rsidRPr="00181CB2" w:rsidP="00181CB2">
      <w:pPr>
        <w:pStyle w:val="ListBullet2"/>
      </w:pPr>
      <w:r w:rsidRPr="00181CB2">
        <w:t xml:space="preserve">satisfy the assessor requirements in the </w:t>
      </w:r>
      <w:r w:rsidRPr="00181CB2">
        <w:rPr>
          <w:rStyle w:val="Emphasis"/>
        </w:rPr>
        <w:t>Standards for Registered Training Organisa</w:t>
      </w:r>
      <w:r w:rsidRPr="00181CB2">
        <w:rPr>
          <w:rStyle w:val="Emphasis"/>
        </w:rPr>
        <w:t>tions 2015</w:t>
      </w:r>
      <w:r w:rsidRPr="00181CB2">
        <w:t xml:space="preserve"> and comply with the </w:t>
      </w:r>
      <w:r w:rsidRPr="00181CB2">
        <w:rPr>
          <w:rStyle w:val="Emphasis"/>
        </w:rPr>
        <w:t>National Vocational Education and Training Regulator Act 2011</w:t>
      </w:r>
      <w:r w:rsidRPr="00181CB2">
        <w:t xml:space="preserve"> or equivalent legislation covering VET regulation in a non-referring State as the case requires.</w:t>
      </w:r>
    </w:p>
    <w:p w:rsidR="00000000" w:rsidRPr="00181CB2" w:rsidP="00181CB2">
      <w:pPr>
        <w:pStyle w:val="ListBullet"/>
      </w:pPr>
      <w:r w:rsidRPr="00181CB2">
        <w:t>Where possible assessment must occur in operational workplace sit</w:t>
      </w:r>
      <w:r w:rsidRPr="00181CB2">
        <w:t xml:space="preserve">uations. Where this is not possible or where personal safety or environmental damage are limiting factors, assessment must occur in a sufficiently rigorous simulated environment that reflects realistic operational workplace conditions. This must cover all </w:t>
      </w:r>
      <w:r w:rsidRPr="00181CB2">
        <w:t>aspects of workplace performance, including environment, task skills, task management skills, contingency management skills and job role environment skills.</w:t>
      </w:r>
    </w:p>
    <w:p w:rsidR="00000000" w:rsidRPr="00181CB2" w:rsidP="00181CB2">
      <w:pPr>
        <w:pStyle w:val="ListBullet"/>
      </w:pPr>
      <w:r w:rsidRPr="00181CB2">
        <w:t xml:space="preserve">Conditions for assessment must include access to all tools, equipment, materials and documentation </w:t>
      </w:r>
      <w:r w:rsidRPr="00181CB2">
        <w:t>required, including relevant workplace procedures, product and manufacturing specifications.</w:t>
      </w:r>
    </w:p>
    <w:p w:rsidR="00000000" w:rsidRPr="00181CB2" w:rsidP="00181CB2">
      <w:pPr>
        <w:pStyle w:val="ListBullet"/>
      </w:pPr>
      <w:r w:rsidRPr="00181CB2">
        <w:t>Assessment processes and techniques must be appropriate to the language, literacy and numeracy requirements of the work being performed and the needs of the candid</w:t>
      </w:r>
      <w:r w:rsidRPr="00181CB2">
        <w:t>ate.</w:t>
      </w:r>
    </w:p>
    <w:p w:rsidR="00000000" w:rsidRPr="00181CB2" w:rsidP="00181CB2">
      <w:pPr>
        <w:pStyle w:val="AllowPageBreak"/>
      </w:pPr>
    </w:p>
    <w:p w:rsidR="00000000" w:rsidRPr="00181CB2" w:rsidP="00181CB2">
      <w:pPr>
        <w:pStyle w:val="Heading1"/>
      </w:pPr>
      <w:bookmarkStart w:id="5" w:name="O_968616"/>
      <w:bookmarkEnd w:id="5"/>
      <w:r w:rsidRPr="00181CB2">
        <w:t>Links</w:t>
      </w:r>
    </w:p>
    <w:p w:rsidR="00000000" w:rsidRPr="00181CB2" w:rsidP="007D390A">
      <w:pPr>
        <w:pStyle w:val="BodyText"/>
      </w:pPr>
      <w:r w:rsidRPr="00181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28E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1CB2" w:rsidP="00181CB2"/>
    <w:sectPr w:rsidSect="00181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B2" w:rsidRPr="007D390A" w:rsidP="007D3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A" w:rsidP="00181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90A" w:rsidP="00181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90A" w:rsidP="00181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CB2" w:rsidRPr="007D390A" w:rsidP="007D3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0A" w:rsidRPr="002D2AF8" w:rsidP="00181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MEM10016 Terminate and test electrical wiring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390A" w:rsidP="00181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860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21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2A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CB2"/>
  </w:style>
  <w:style w:type="character" w:customStyle="1" w:styleId="Heading1Char">
    <w:name w:val="Heading 1 Char"/>
    <w:basedOn w:val="DefaultParagraphFont"/>
    <w:link w:val="Heading1"/>
    <w:rsid w:val="00181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C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C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CB2"/>
    <w:rPr>
      <w:i/>
    </w:rPr>
  </w:style>
  <w:style w:type="paragraph" w:customStyle="1" w:styleId="SuperHeading">
    <w:name w:val="SuperHeading"/>
    <w:basedOn w:val="Normal"/>
    <w:rsid w:val="00181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1C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1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CB2"/>
    <w:rPr>
      <w:b/>
      <w:spacing w:val="0"/>
    </w:rPr>
  </w:style>
  <w:style w:type="paragraph" w:customStyle="1" w:styleId="SuperTitle">
    <w:name w:val="SuperTitle"/>
    <w:basedOn w:val="Title"/>
    <w:rsid w:val="00181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CB2"/>
  </w:style>
  <w:style w:type="paragraph" w:styleId="TableofFigures">
    <w:name w:val="table of figures"/>
    <w:basedOn w:val="Normal"/>
    <w:next w:val="Normal"/>
    <w:semiHidden/>
    <w:rsid w:val="00181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C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1CB2"/>
    <w:rPr>
      <w:rFonts w:ascii="Wingdings" w:hAnsi="Wingdings"/>
    </w:rPr>
  </w:style>
  <w:style w:type="paragraph" w:customStyle="1" w:styleId="TableHeading">
    <w:name w:val="Table Heading"/>
    <w:basedOn w:val="HeadingBase"/>
    <w:rsid w:val="00181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CB2"/>
    <w:rPr>
      <w:color w:val="0033CC"/>
      <w:u w:val="none"/>
    </w:rPr>
  </w:style>
  <w:style w:type="paragraph" w:customStyle="1" w:styleId="BodyTextRight">
    <w:name w:val="Body Text Right"/>
    <w:basedOn w:val="BodyText"/>
    <w:rsid w:val="00181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C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CB2"/>
    <w:rPr>
      <w:sz w:val="32"/>
    </w:rPr>
  </w:style>
  <w:style w:type="paragraph" w:customStyle="1" w:styleId="HeadingProcedure">
    <w:name w:val="Heading Procedure"/>
    <w:basedOn w:val="HeadingBase"/>
    <w:next w:val="Normal"/>
    <w:rsid w:val="00181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CB2"/>
    <w:pPr>
      <w:spacing w:before="60" w:after="60"/>
    </w:pPr>
  </w:style>
  <w:style w:type="paragraph" w:styleId="ListContinue">
    <w:name w:val="List Continue"/>
    <w:basedOn w:val="List"/>
    <w:rsid w:val="00181CB2"/>
    <w:pPr>
      <w:ind w:firstLine="0"/>
    </w:pPr>
  </w:style>
  <w:style w:type="paragraph" w:customStyle="1" w:styleId="ListNote">
    <w:name w:val="List Note"/>
    <w:basedOn w:val="List"/>
    <w:rsid w:val="00181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CB2"/>
    <w:rPr>
      <w:rFonts w:ascii="Courier New" w:hAnsi="Courier New"/>
    </w:rPr>
  </w:style>
  <w:style w:type="paragraph" w:customStyle="1" w:styleId="NoteBullet">
    <w:name w:val="Note Bullet"/>
    <w:basedOn w:val="Note"/>
    <w:rsid w:val="00181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C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1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CB2"/>
    <w:rPr>
      <w:b/>
      <w:smallCaps/>
    </w:rPr>
  </w:style>
  <w:style w:type="paragraph" w:customStyle="1" w:styleId="TableListNumber">
    <w:name w:val="Table List Number"/>
    <w:basedOn w:val="ListNumber"/>
    <w:rsid w:val="00181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CB2"/>
    <w:pPr>
      <w:numPr>
        <w:numId w:val="10"/>
      </w:numPr>
    </w:pPr>
  </w:style>
  <w:style w:type="paragraph" w:customStyle="1" w:styleId="ListAlpha2">
    <w:name w:val="List Alpha 2"/>
    <w:basedOn w:val="List2"/>
    <w:rsid w:val="00181CB2"/>
    <w:pPr>
      <w:numPr>
        <w:numId w:val="9"/>
      </w:numPr>
    </w:pPr>
  </w:style>
  <w:style w:type="paragraph" w:styleId="List2">
    <w:name w:val="List 2"/>
    <w:basedOn w:val="BodyText"/>
    <w:rsid w:val="00181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C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1C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1CB2"/>
    <w:pPr>
      <w:numPr>
        <w:numId w:val="5"/>
      </w:numPr>
    </w:pPr>
  </w:style>
  <w:style w:type="paragraph" w:styleId="ListContinue2">
    <w:name w:val="List Continue 2"/>
    <w:basedOn w:val="List2"/>
    <w:rsid w:val="00181CB2"/>
    <w:pPr>
      <w:ind w:firstLine="0"/>
    </w:pPr>
  </w:style>
  <w:style w:type="paragraph" w:styleId="ListContinue3">
    <w:name w:val="List Continue 3"/>
    <w:basedOn w:val="List3"/>
    <w:rsid w:val="00181CB2"/>
    <w:pPr>
      <w:ind w:left="1021" w:firstLine="0"/>
    </w:pPr>
  </w:style>
  <w:style w:type="paragraph" w:styleId="ListContinue4">
    <w:name w:val="List Continue 4"/>
    <w:basedOn w:val="List4"/>
    <w:rsid w:val="00181CB2"/>
    <w:pPr>
      <w:ind w:firstLine="0"/>
    </w:pPr>
  </w:style>
  <w:style w:type="paragraph" w:styleId="ListContinue5">
    <w:name w:val="List Continue 5"/>
    <w:basedOn w:val="List5"/>
    <w:rsid w:val="00181CB2"/>
    <w:pPr>
      <w:ind w:firstLine="0"/>
    </w:pPr>
  </w:style>
  <w:style w:type="paragraph" w:styleId="ListNumber3">
    <w:name w:val="List Number 3"/>
    <w:basedOn w:val="List3"/>
    <w:rsid w:val="00181CB2"/>
    <w:pPr>
      <w:numPr>
        <w:numId w:val="6"/>
      </w:numPr>
    </w:pPr>
  </w:style>
  <w:style w:type="paragraph" w:styleId="ListNumber4">
    <w:name w:val="List Number 4"/>
    <w:basedOn w:val="List4"/>
    <w:rsid w:val="00181CB2"/>
    <w:pPr>
      <w:numPr>
        <w:numId w:val="7"/>
      </w:numPr>
    </w:pPr>
  </w:style>
  <w:style w:type="paragraph" w:styleId="ListNumber5">
    <w:name w:val="List Number 5"/>
    <w:basedOn w:val="List5"/>
    <w:rsid w:val="00181CB2"/>
    <w:pPr>
      <w:numPr>
        <w:numId w:val="8"/>
      </w:numPr>
    </w:pPr>
  </w:style>
  <w:style w:type="paragraph" w:styleId="BlockText">
    <w:name w:val="Block Text"/>
    <w:basedOn w:val="Normal"/>
    <w:rsid w:val="00181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CB2"/>
    <w:rPr>
      <w:sz w:val="16"/>
      <w:vertAlign w:val="superscript"/>
    </w:rPr>
  </w:style>
  <w:style w:type="character" w:customStyle="1" w:styleId="Symbols">
    <w:name w:val="Symbols"/>
    <w:basedOn w:val="DefaultParagraphFont"/>
    <w:rsid w:val="00181CB2"/>
    <w:rPr>
      <w:rFonts w:ascii="Symbol" w:hAnsi="Symbol"/>
    </w:rPr>
  </w:style>
  <w:style w:type="character" w:customStyle="1" w:styleId="MenuOptions">
    <w:name w:val="Menu Options"/>
    <w:basedOn w:val="DefaultParagraphFont"/>
    <w:rsid w:val="00181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CB2"/>
    <w:rPr>
      <w:b/>
    </w:rPr>
  </w:style>
  <w:style w:type="character" w:customStyle="1" w:styleId="Underlined">
    <w:name w:val="Underlined"/>
    <w:basedOn w:val="DefaultParagraphFont"/>
    <w:rsid w:val="00181CB2"/>
    <w:rPr>
      <w:u w:val="single"/>
    </w:rPr>
  </w:style>
  <w:style w:type="paragraph" w:customStyle="1" w:styleId="TableBodyTextRight">
    <w:name w:val="Table Body Text Right"/>
    <w:basedOn w:val="TableBodyText"/>
    <w:rsid w:val="00181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CB2"/>
    <w:rPr>
      <w:sz w:val="18"/>
    </w:rPr>
  </w:style>
  <w:style w:type="paragraph" w:customStyle="1" w:styleId="BodySmallRight">
    <w:name w:val="Body Small Right"/>
    <w:basedOn w:val="BodyTextRight"/>
    <w:rsid w:val="00181CB2"/>
    <w:rPr>
      <w:sz w:val="18"/>
      <w:szCs w:val="18"/>
    </w:rPr>
  </w:style>
  <w:style w:type="paragraph" w:customStyle="1" w:styleId="MarginEdition">
    <w:name w:val="Margin Edition"/>
    <w:basedOn w:val="MarginNote"/>
    <w:rsid w:val="00181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CB2"/>
    <w:rPr>
      <w:sz w:val="2"/>
      <w:szCs w:val="2"/>
    </w:rPr>
  </w:style>
  <w:style w:type="character" w:customStyle="1" w:styleId="Small">
    <w:name w:val="Small"/>
    <w:basedOn w:val="DefaultParagraphFont"/>
    <w:rsid w:val="00181CB2"/>
    <w:rPr>
      <w:sz w:val="16"/>
    </w:rPr>
  </w:style>
  <w:style w:type="paragraph" w:customStyle="1" w:styleId="WideTable">
    <w:name w:val="Wide Table"/>
    <w:basedOn w:val="Normal"/>
    <w:rsid w:val="00181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CB2"/>
  </w:style>
  <w:style w:type="paragraph" w:styleId="Quote">
    <w:name w:val="Quote"/>
    <w:basedOn w:val="Heading1"/>
    <w:link w:val="QuoteChar"/>
    <w:qFormat/>
    <w:rsid w:val="00181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CB2"/>
    <w:pPr>
      <w:pageBreakBefore/>
    </w:pPr>
  </w:style>
  <w:style w:type="paragraph" w:customStyle="1" w:styleId="Border">
    <w:name w:val="Border"/>
    <w:basedOn w:val="Normal"/>
    <w:qFormat/>
    <w:rsid w:val="00181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CB2"/>
    <w:rPr>
      <w:u w:val="single"/>
    </w:rPr>
  </w:style>
  <w:style w:type="character" w:customStyle="1" w:styleId="BoldandItalics">
    <w:name w:val="Bold and Italics"/>
    <w:qFormat/>
    <w:rsid w:val="00181CB2"/>
    <w:rPr>
      <w:b/>
      <w:i/>
      <w:u w:val="none"/>
    </w:rPr>
  </w:style>
  <w:style w:type="paragraph" w:styleId="BalloonText">
    <w:name w:val="Balloon Text"/>
    <w:basedOn w:val="Normal"/>
    <w:link w:val="BalloonTextChar"/>
    <w:rsid w:val="00181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CB2"/>
    <w:pPr>
      <w:spacing w:before="0" w:after="0"/>
    </w:pPr>
  </w:style>
  <w:style w:type="paragraph" w:customStyle="1" w:styleId="BodyTextBold">
    <w:name w:val="Body Text Bold"/>
    <w:basedOn w:val="BodyText"/>
    <w:qFormat/>
    <w:rsid w:val="00181CB2"/>
    <w:rPr>
      <w:b/>
    </w:rPr>
  </w:style>
  <w:style w:type="character" w:styleId="Hyperlink">
    <w:name w:val="Hyperlink"/>
    <w:basedOn w:val="DefaultParagraphFont"/>
    <w:uiPriority w:val="99"/>
    <w:unhideWhenUsed/>
    <w:rsid w:val="007D3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4743</Characters>
  <Application>Microsoft Office Word</Application>
  <DocSecurity>0</DocSecurity>
  <Lines>115</Lines>
  <Paragraphs>82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MEM10016 Terminate and test electrical wiring and accessories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