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EB5" w:rsidP="00CE3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MEM10013 Install split air conditioning systems and associated pipework</w:t>
      </w:r>
      <w:r>
        <w:fldChar w:fldCharType="end"/>
      </w:r>
    </w:p>
    <w:p w:rsidR="00CE3EB5" w:rsidP="00CE3EB5">
      <w:pPr>
        <w:pStyle w:val="Version"/>
        <w:sectPr w:rsidSect="00776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879" w:rsidP="00776879">
      <w:pPr>
        <w:pStyle w:val="SuperHeading"/>
      </w:pPr>
      <w:r w:rsidRPr="00776879">
        <w:t>MEM10013 Inst</w:t>
      </w:r>
      <w:r w:rsidRPr="00776879">
        <w:t>all split air conditioning systems and associated pipework</w:t>
      </w:r>
    </w:p>
    <w:p w:rsidR="00000000" w:rsidRPr="00776879" w:rsidP="00776879">
      <w:pPr>
        <w:pStyle w:val="Heading1"/>
      </w:pPr>
      <w:bookmarkStart w:id="1" w:name="O_948767"/>
      <w:bookmarkEnd w:id="1"/>
      <w:r w:rsidRPr="00776879">
        <w:t>Modification History</w:t>
      </w:r>
    </w:p>
    <w:p w:rsidR="00000000" w:rsidRPr="00776879" w:rsidP="00CE3EB5">
      <w:pPr>
        <w:pStyle w:val="BodyText"/>
      </w:pPr>
      <w:r w:rsidRPr="00776879">
        <w:t xml:space="preserve">Release 1. Supersedes and is equivalent to MEM10013A Install split air conditioning systems and associated pipework </w:t>
      </w:r>
    </w:p>
    <w:p w:rsidR="00000000" w:rsidRPr="00776879" w:rsidP="00776879">
      <w:pPr>
        <w:pStyle w:val="Heading1"/>
      </w:pPr>
      <w:bookmarkStart w:id="2" w:name="O_948775"/>
      <w:bookmarkEnd w:id="2"/>
      <w:r w:rsidRPr="00776879">
        <w:t>Application</w:t>
      </w:r>
    </w:p>
    <w:p w:rsidR="00000000" w:rsidRPr="00776879" w:rsidP="00CE3EB5">
      <w:pPr>
        <w:pStyle w:val="BodyText"/>
      </w:pPr>
      <w:r w:rsidRPr="00776879">
        <w:t>This unit of competency defines the skills and knowledge required to install split air conditioning systems and associated pipework up to 18 kW cooling capacity.</w:t>
      </w:r>
    </w:p>
    <w:p w:rsidR="00000000" w:rsidRPr="00776879" w:rsidP="00CE3EB5">
      <w:pPr>
        <w:pStyle w:val="BodyText"/>
      </w:pPr>
      <w:r w:rsidRPr="00776879">
        <w:t>This unit refers to plug in applications only. Where the installation and connection to mains</w:t>
      </w:r>
      <w:r w:rsidRPr="00776879">
        <w:t xml:space="preserve"> supply of fixed wiring is necessary then this work must be undertaken by a suitably licensed person. </w:t>
      </w:r>
    </w:p>
    <w:p w:rsidR="00000000" w:rsidRPr="00776879" w:rsidP="00CE3EB5">
      <w:pPr>
        <w:pStyle w:val="BodyText"/>
      </w:pPr>
      <w:r w:rsidRPr="00776879">
        <w:t>Where commissioning and decommissioning of split air conditioning systems is required see unit MEM18084 Commission and decommission split air conditioni</w:t>
      </w:r>
      <w:r w:rsidRPr="00776879">
        <w:t>ng systems.</w:t>
      </w:r>
    </w:p>
    <w:p w:rsidR="00000000" w:rsidRPr="00776879" w:rsidP="00CE3EB5">
      <w:pPr>
        <w:pStyle w:val="BodyText"/>
      </w:pPr>
      <w:r w:rsidRPr="00776879">
        <w:t>Some jurisdictions may require the holder of this unit to be licensed or certified and users should check with the relevant authorities.</w:t>
      </w:r>
    </w:p>
    <w:p w:rsidR="00000000" w:rsidRPr="00776879" w:rsidP="00776879">
      <w:pPr>
        <w:pStyle w:val="BodyText"/>
      </w:pPr>
      <w:r w:rsidRPr="00776879">
        <w:rPr>
          <w:rStyle w:val="SpecialBold"/>
        </w:rPr>
        <w:t>Band:</w:t>
      </w:r>
      <w:r w:rsidRPr="00776879">
        <w:rPr>
          <w:rStyle w:val="SpecialBold"/>
        </w:rPr>
        <w:tab/>
        <w:t>A</w:t>
      </w:r>
    </w:p>
    <w:p w:rsidR="00000000" w:rsidRPr="00776879" w:rsidP="00776879">
      <w:pPr>
        <w:pStyle w:val="BodyText"/>
      </w:pPr>
      <w:r w:rsidRPr="00776879">
        <w:rPr>
          <w:rStyle w:val="SpecialBold"/>
        </w:rPr>
        <w:t>Unit Weight:</w:t>
      </w:r>
      <w:r w:rsidRPr="00776879">
        <w:rPr>
          <w:rStyle w:val="SpecialBold"/>
        </w:rPr>
        <w:tab/>
        <w:t>6</w:t>
      </w:r>
    </w:p>
    <w:p w:rsidR="00000000" w:rsidRPr="00776879" w:rsidP="00776879">
      <w:pPr>
        <w:pStyle w:val="AllowPageBreak"/>
      </w:pPr>
    </w:p>
    <w:p w:rsidR="00000000" w:rsidRPr="00776879" w:rsidP="00776879">
      <w:pPr>
        <w:pStyle w:val="Heading1"/>
      </w:pPr>
      <w:bookmarkStart w:id="3" w:name="O_948774"/>
      <w:bookmarkEnd w:id="3"/>
      <w:r w:rsidRPr="0077687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MEM05006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Perform brazing and/or silver solderi</w:t>
            </w:r>
            <w:r w:rsidRPr="00776879">
              <w:t>ng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Interpret technical drawing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Undertake manual handling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Perform engineering measurements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Work safely and effectively in manufacturing and engineering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Organise and communicate information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Use hand tools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Use power tools/hand held operations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Dismantle, replace and assemble engineering components</w:t>
            </w:r>
          </w:p>
        </w:tc>
      </w:tr>
    </w:tbl>
    <w:p w:rsidR="00000000" w:rsidRPr="00776879" w:rsidP="00776879">
      <w:pPr>
        <w:pStyle w:val="BodyText"/>
      </w:pPr>
    </w:p>
    <w:p w:rsidR="00000000" w:rsidRPr="00776879" w:rsidP="00776879">
      <w:pPr>
        <w:pStyle w:val="AllowPageBreak"/>
      </w:pPr>
    </w:p>
    <w:p w:rsidR="00000000" w:rsidRPr="00776879" w:rsidP="00776879">
      <w:pPr>
        <w:pStyle w:val="Heading1"/>
      </w:pPr>
      <w:bookmarkStart w:id="4" w:name="O_948773"/>
      <w:bookmarkEnd w:id="4"/>
      <w:r w:rsidRPr="00776879">
        <w:t>Competency Field</w:t>
      </w:r>
    </w:p>
    <w:p w:rsidR="00000000" w:rsidRPr="00776879" w:rsidP="00CE3EB5">
      <w:pPr>
        <w:pStyle w:val="BodyText"/>
      </w:pPr>
      <w:r w:rsidRPr="00776879">
        <w:t>Installation and commissioning</w:t>
      </w:r>
    </w:p>
    <w:p w:rsidR="00000000" w:rsidRPr="00776879" w:rsidP="00776879">
      <w:pPr>
        <w:pStyle w:val="Heading1"/>
      </w:pPr>
      <w:bookmarkStart w:id="5" w:name="O_948771"/>
      <w:bookmarkEnd w:id="5"/>
      <w:r w:rsidRPr="007768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Performance criteria describe the performance needed to demonstrate achievement of the element.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Follow standard operating procedures (SOPs)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 xml:space="preserve">Comply with work health and safety (WHS) requirements at all times 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Use appropriate personal protective equipment (PPE) in accordance with SOPs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Identify job requirements from specifications, drawings, job sheets or work instructions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Locate split air conditioning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Determine the location of unit components, piping and drains in consultation with customer and other site considerations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Ensure industry and local authority requirements, standards and codes and manufactu</w:t>
            </w:r>
            <w:r w:rsidRPr="00776879">
              <w:t>rer requirements are identified, including the appropriate capacity rating of the equipment and any impacts on the installation are identified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Inspect and prepare installation sites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Carry out all work safely to Australian Standards, state and local codes and regulations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Prepare the installation site to industry codes of practice and manufacturer installation instructions, as appropriate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 xml:space="preserve">Carry out the work without damage to the system, components and the surrounding environment or services 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Prepare split system equipment and materials for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Identify and note safety hazards and ensure established risk control measures are implemented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Consult appropriate personnel to ensure the work is coordinated effectively with others involved on the worksite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 xml:space="preserve">Check all components, piping and fittings for conformance to manufacturer specification, job requirements and applicable standards 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Determine the layout of the pipework from job specifications and diagrams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Obtain materials needed to carry out</w:t>
            </w:r>
            <w:r w:rsidRPr="00776879">
              <w:t xml:space="preserve"> the work in accordance with established procedures and check against job requirements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Obtain tools, equipment and testing devices needed to conduct the work in accordance with established procedures and check for correct operation and safety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Check preparatory work to ensure no damage has occurred and that it complies with work requirements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Prepare and install refrigerant pipework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Use tools and equipment in accordance with manufacturers’ instructions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Ensure pipework is prepared and joined to required specification with minimal wastage and damage/contamination to environment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Join pipework and fittings using appropriate pipe joining methods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Ensure pipes are run separately and insulated acco</w:t>
            </w:r>
            <w:r w:rsidRPr="00776879">
              <w:t>rding to manufacturer instructions and to relevant standards codes and regulations</w:t>
            </w:r>
          </w:p>
        </w:tc>
      </w:tr>
      <w:tr w:rsidTr="0077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BodyText"/>
            </w:pPr>
            <w:r w:rsidRPr="00776879">
              <w:t>Check pipework and joins for compliance and integrity using appropriate testing methods</w:t>
            </w:r>
          </w:p>
        </w:tc>
      </w:tr>
    </w:tbl>
    <w:p w:rsidR="00000000" w:rsidRPr="00776879" w:rsidP="00776879">
      <w:pPr>
        <w:pStyle w:val="BodyText"/>
      </w:pPr>
    </w:p>
    <w:p w:rsidR="00000000" w:rsidRPr="00776879" w:rsidP="00776879">
      <w:pPr>
        <w:pStyle w:val="AllowPageBreak"/>
      </w:pPr>
    </w:p>
    <w:p w:rsidR="00000000" w:rsidRPr="00776879" w:rsidP="00776879">
      <w:pPr>
        <w:pStyle w:val="Heading1"/>
      </w:pPr>
      <w:bookmarkStart w:id="6" w:name="O_948770"/>
      <w:bookmarkEnd w:id="6"/>
      <w:r w:rsidRPr="00776879">
        <w:t>Foundation Skills</w:t>
      </w:r>
    </w:p>
    <w:p w:rsidR="00000000" w:rsidRPr="00776879" w:rsidP="00CE3EB5">
      <w:pPr>
        <w:pStyle w:val="BodyText"/>
      </w:pPr>
      <w:r w:rsidRPr="0077687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76879" w:rsidP="00CE3EB5">
      <w:pPr>
        <w:pStyle w:val="BodyText"/>
      </w:pPr>
      <w:r w:rsidRPr="00776879">
        <w:t xml:space="preserve">Foundation skills essential to performance are explicit in the performance criteria </w:t>
      </w:r>
      <w:r w:rsidRPr="00776879">
        <w:t>of this unit of competency.</w:t>
      </w:r>
    </w:p>
    <w:p w:rsidR="00000000" w:rsidRPr="00776879" w:rsidP="00776879">
      <w:pPr>
        <w:pStyle w:val="Heading1"/>
      </w:pPr>
      <w:bookmarkStart w:id="7" w:name="O_948769"/>
      <w:bookmarkEnd w:id="7"/>
      <w:r w:rsidRPr="00776879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20"/>
      </w:tblGrid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t>This field allows for different work environments and conditions that may affect performance. Essential operating conditions that may be present (depending on the work situation, needs of the</w:t>
            </w:r>
            <w:r w:rsidRPr="00776879">
              <w:t xml:space="preserve"> candidate, accessibility of the item, and local industry and regional contexts) are included.</w:t>
            </w: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Unit components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outdoor unit, indoor unit, fittings and fixtures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Site considerations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inside wall, drains, pipe runs, exposure, access, air circulation, environment and power supply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Prepare installation site includes one (1) or more of the following:</w:t>
            </w:r>
            <w:r w:rsidRPr="00776879"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clearing and levelling</w:t>
            </w:r>
          </w:p>
          <w:p w:rsidR="00000000" w:rsidRPr="00776879" w:rsidP="00776879">
            <w:pPr>
              <w:pStyle w:val="ListBullet"/>
            </w:pPr>
            <w:r w:rsidRPr="00776879">
              <w:t>foundations</w:t>
            </w:r>
          </w:p>
          <w:p w:rsidR="00000000" w:rsidRPr="00776879" w:rsidP="00776879">
            <w:pPr>
              <w:pStyle w:val="ListBullet"/>
            </w:pPr>
            <w:r w:rsidRPr="00776879">
              <w:t>wall fixtures</w:t>
            </w:r>
          </w:p>
          <w:p w:rsidR="00000000" w:rsidRPr="00776879" w:rsidP="00776879">
            <w:pPr>
              <w:pStyle w:val="ListBullet"/>
            </w:pPr>
            <w:r w:rsidRPr="00776879">
              <w:t>roof mounting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Prepared and joined includes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cutting to length, flaring, swaging and bending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Pipe joining methods include one (1) or more of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silver brazing</w:t>
            </w:r>
          </w:p>
          <w:p w:rsidR="00000000" w:rsidRPr="00776879" w:rsidP="00776879">
            <w:pPr>
              <w:pStyle w:val="ListBullet"/>
            </w:pPr>
            <w:r w:rsidRPr="00776879">
              <w:t>soldering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Equipment and testing devices include one (1) or more of the following</w:t>
            </w:r>
            <w:r w:rsidRPr="00776879">
              <w:rPr>
                <w:rStyle w:val="SpecialBold"/>
              </w:rPr>
              <w:t>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refrigeration gauge manifold</w:t>
            </w:r>
          </w:p>
          <w:p w:rsidR="00000000" w:rsidRPr="00776879" w:rsidP="00776879">
            <w:pPr>
              <w:pStyle w:val="ListBullet"/>
            </w:pPr>
            <w:r w:rsidRPr="00776879">
              <w:t>Schraeder access valves</w:t>
            </w:r>
          </w:p>
          <w:p w:rsidR="00000000" w:rsidRPr="00776879" w:rsidP="00776879">
            <w:pPr>
              <w:pStyle w:val="ListBullet"/>
            </w:pPr>
            <w:r w:rsidRPr="00776879">
              <w:t>quick connect couplings</w:t>
            </w:r>
          </w:p>
          <w:p w:rsidR="00000000" w:rsidRPr="00776879" w:rsidP="00776879">
            <w:pPr>
              <w:pStyle w:val="ListBullet"/>
            </w:pPr>
            <w:r w:rsidRPr="00776879">
              <w:t>thermometer/thermocouple temperature measuring devices</w:t>
            </w:r>
          </w:p>
          <w:p w:rsidR="00000000" w:rsidRPr="00776879" w:rsidP="00776879">
            <w:pPr>
              <w:pStyle w:val="ListBullet"/>
            </w:pPr>
            <w:r w:rsidRPr="00776879">
              <w:t>analogue and digital vacuum measuring gauges</w:t>
            </w:r>
          </w:p>
          <w:p w:rsidR="00000000" w:rsidRPr="00776879" w:rsidP="00776879">
            <w:pPr>
              <w:pStyle w:val="ListBullet"/>
            </w:pPr>
            <w:r w:rsidRPr="00776879">
              <w:t>digital scales</w:t>
            </w:r>
          </w:p>
          <w:p w:rsidR="00000000" w:rsidRPr="00776879" w:rsidP="00776879">
            <w:pPr>
              <w:pStyle w:val="ListBullet"/>
            </w:pPr>
            <w:r w:rsidRPr="00776879">
              <w:t>refrigerant recovery unit</w:t>
            </w:r>
          </w:p>
          <w:p w:rsidR="00000000" w:rsidRPr="00776879" w:rsidP="00776879">
            <w:pPr>
              <w:pStyle w:val="ListBullet"/>
            </w:pPr>
            <w:r w:rsidRPr="00776879">
              <w:t>vacuum pump</w:t>
            </w:r>
          </w:p>
          <w:p w:rsidR="00000000" w:rsidRPr="00776879" w:rsidP="00776879">
            <w:pPr>
              <w:pStyle w:val="ListBullet"/>
            </w:pPr>
            <w:r w:rsidRPr="00776879">
              <w:t>electronic leak detectors</w:t>
            </w:r>
          </w:p>
          <w:p w:rsidR="00000000" w:rsidRPr="00776879" w:rsidP="00776879">
            <w:pPr>
              <w:pStyle w:val="ListBullet"/>
            </w:pPr>
            <w:r w:rsidRPr="00776879">
              <w:t>refrigerant containers/cylinders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Industry best practice includes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pipe preparation and joining techniques and industry best practice for pipe brazing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Commonwealth, state and territory legislation, regulations, s</w:t>
            </w:r>
            <w:r w:rsidRPr="00776879">
              <w:rPr>
                <w:rStyle w:val="SpecialBold"/>
              </w:rPr>
              <w:t>tandards, codes of practice, and industry guidelines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The Ozone Protection and Synthetic Greenhouse Gas Legislation Amendment Bill 2003</w:t>
            </w:r>
          </w:p>
          <w:p w:rsidR="00000000" w:rsidRPr="00776879" w:rsidP="00776879">
            <w:pPr>
              <w:pStyle w:val="ListBullet"/>
            </w:pPr>
            <w:r w:rsidRPr="00776879">
              <w:t>air conditioning residential best practice guidelines (AIRAH)</w:t>
            </w:r>
          </w:p>
          <w:p w:rsidR="00000000" w:rsidRPr="00776879" w:rsidP="00776879">
            <w:pPr>
              <w:pStyle w:val="ListBullet"/>
            </w:pPr>
            <w:r w:rsidRPr="00776879">
              <w:t>state/territory and local building regulations</w:t>
            </w:r>
          </w:p>
          <w:p w:rsidR="00000000" w:rsidRPr="00776879" w:rsidP="00776879">
            <w:pPr>
              <w:pStyle w:val="ListBullet"/>
            </w:pPr>
            <w:r w:rsidRPr="00776879">
              <w:t>codes of practice for domestic refrigeration and air conditioning (HB40)</w:t>
            </w:r>
          </w:p>
          <w:p w:rsidR="00000000" w:rsidP="00776879">
            <w:pPr>
              <w:pStyle w:val="BodyText"/>
              <w:rPr>
                <w:lang w:val="en-NZ"/>
              </w:rPr>
            </w:pPr>
          </w:p>
        </w:tc>
      </w:tr>
      <w:tr w:rsidTr="007768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79">
            <w:pPr>
              <w:pStyle w:val="BodyText"/>
              <w:rPr>
                <w:lang w:val="en-NZ"/>
              </w:rPr>
            </w:pPr>
            <w:r w:rsidRPr="00776879">
              <w:rPr>
                <w:rStyle w:val="SpecialBold"/>
              </w:rPr>
              <w:t>Appropriate testing methods include the following: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79" w:rsidP="00776879">
            <w:pPr>
              <w:pStyle w:val="ListBullet"/>
            </w:pPr>
            <w:r w:rsidRPr="00776879">
              <w:t>dimensional checks and leak tests</w:t>
            </w:r>
          </w:p>
        </w:tc>
      </w:tr>
    </w:tbl>
    <w:p w:rsidR="00000000" w:rsidRPr="00776879" w:rsidP="00776879">
      <w:pPr>
        <w:pStyle w:val="BodyText"/>
      </w:pPr>
    </w:p>
    <w:p w:rsidR="00000000" w:rsidRPr="00776879" w:rsidP="00776879">
      <w:pPr>
        <w:pStyle w:val="AllowPageBreak"/>
      </w:pPr>
    </w:p>
    <w:p w:rsidR="00000000" w:rsidRPr="00776879" w:rsidP="00776879">
      <w:pPr>
        <w:pStyle w:val="Heading1"/>
      </w:pPr>
      <w:bookmarkStart w:id="8" w:name="O_948768"/>
      <w:bookmarkEnd w:id="8"/>
      <w:r w:rsidRPr="00776879">
        <w:t>Unit Mapping Information</w:t>
      </w:r>
    </w:p>
    <w:p w:rsidR="00000000" w:rsidRPr="00776879" w:rsidP="00CE3EB5">
      <w:pPr>
        <w:pStyle w:val="BodyText"/>
      </w:pPr>
      <w:r w:rsidRPr="00776879">
        <w:t>Rele</w:t>
      </w:r>
      <w:r w:rsidRPr="00776879">
        <w:t xml:space="preserve">ase 1. Supersedes and is equivalent to MEM10013A Install split air conditioning systems and associated pipework </w:t>
      </w:r>
    </w:p>
    <w:p w:rsidR="00000000" w:rsidRPr="00776879" w:rsidP="00776879">
      <w:pPr>
        <w:pStyle w:val="Heading1"/>
      </w:pPr>
      <w:bookmarkStart w:id="9" w:name="O_948761"/>
      <w:bookmarkEnd w:id="9"/>
      <w:r w:rsidRPr="00776879">
        <w:t>Links</w:t>
      </w:r>
    </w:p>
    <w:p w:rsidR="00000000" w:rsidRPr="00776879" w:rsidP="00CE3EB5">
      <w:pPr>
        <w:pStyle w:val="BodyText"/>
      </w:pPr>
      <w:r w:rsidRPr="007768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21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76879" w:rsidP="00776879"/>
    <w:sectPr w:rsidSect="00776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79" w:rsidRPr="00CE3EB5" w:rsidP="00CE3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B5" w:rsidP="00776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EB5" w:rsidP="00776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3EB5" w:rsidP="00776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879" w:rsidRPr="00CE3EB5" w:rsidP="00CE3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EB5" w:rsidRPr="002D2AF8" w:rsidP="00776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MEM10013 Install split air conditioning systems and associated pipework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E3EB5" w:rsidP="00776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2E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AD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879"/>
  </w:style>
  <w:style w:type="character" w:customStyle="1" w:styleId="Heading1Char">
    <w:name w:val="Heading 1 Char"/>
    <w:basedOn w:val="DefaultParagraphFont"/>
    <w:link w:val="Heading1"/>
    <w:rsid w:val="00776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8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879"/>
    <w:rPr>
      <w:b/>
      <w:spacing w:val="0"/>
    </w:rPr>
  </w:style>
  <w:style w:type="paragraph" w:customStyle="1" w:styleId="SuperHeading">
    <w:name w:val="SuperHeading"/>
    <w:basedOn w:val="Normal"/>
    <w:rsid w:val="00776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879"/>
    <w:rPr>
      <w:i/>
    </w:rPr>
  </w:style>
  <w:style w:type="paragraph" w:styleId="Caption">
    <w:name w:val="caption"/>
    <w:basedOn w:val="BodyText"/>
    <w:next w:val="Normal"/>
    <w:qFormat/>
    <w:rsid w:val="00776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879"/>
  </w:style>
  <w:style w:type="paragraph" w:styleId="TableofFigures">
    <w:name w:val="table of figures"/>
    <w:basedOn w:val="Normal"/>
    <w:next w:val="Normal"/>
    <w:semiHidden/>
    <w:rsid w:val="00776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8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879"/>
    <w:rPr>
      <w:rFonts w:ascii="Wingdings" w:hAnsi="Wingdings"/>
    </w:rPr>
  </w:style>
  <w:style w:type="paragraph" w:customStyle="1" w:styleId="TableHeading">
    <w:name w:val="Table Heading"/>
    <w:basedOn w:val="HeadingBase"/>
    <w:rsid w:val="00776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879"/>
    <w:rPr>
      <w:color w:val="0033CC"/>
      <w:u w:val="none"/>
    </w:rPr>
  </w:style>
  <w:style w:type="paragraph" w:customStyle="1" w:styleId="BodyTextRight">
    <w:name w:val="Body Text Right"/>
    <w:basedOn w:val="BodyText"/>
    <w:rsid w:val="00776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879"/>
    <w:rPr>
      <w:sz w:val="32"/>
    </w:rPr>
  </w:style>
  <w:style w:type="paragraph" w:customStyle="1" w:styleId="HeadingProcedure">
    <w:name w:val="Heading Procedure"/>
    <w:basedOn w:val="HeadingBase"/>
    <w:next w:val="Normal"/>
    <w:rsid w:val="00776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879"/>
    <w:pPr>
      <w:spacing w:before="60" w:after="60"/>
    </w:pPr>
  </w:style>
  <w:style w:type="paragraph" w:styleId="ListContinue">
    <w:name w:val="List Continue"/>
    <w:basedOn w:val="List"/>
    <w:rsid w:val="00776879"/>
    <w:pPr>
      <w:ind w:firstLine="0"/>
    </w:pPr>
  </w:style>
  <w:style w:type="paragraph" w:customStyle="1" w:styleId="ListNote">
    <w:name w:val="List Note"/>
    <w:basedOn w:val="List"/>
    <w:rsid w:val="00776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879"/>
    <w:rPr>
      <w:rFonts w:ascii="Courier New" w:hAnsi="Courier New"/>
    </w:rPr>
  </w:style>
  <w:style w:type="paragraph" w:customStyle="1" w:styleId="NoteBullet">
    <w:name w:val="Note Bullet"/>
    <w:basedOn w:val="Note"/>
    <w:rsid w:val="00776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879"/>
    <w:rPr>
      <w:b/>
      <w:smallCaps/>
    </w:rPr>
  </w:style>
  <w:style w:type="paragraph" w:customStyle="1" w:styleId="TableListNumber">
    <w:name w:val="Table List Number"/>
    <w:basedOn w:val="ListNumber"/>
    <w:rsid w:val="00776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879"/>
    <w:pPr>
      <w:numPr>
        <w:numId w:val="8"/>
      </w:numPr>
    </w:pPr>
  </w:style>
  <w:style w:type="paragraph" w:customStyle="1" w:styleId="ListAlpha2">
    <w:name w:val="List Alpha 2"/>
    <w:basedOn w:val="List2"/>
    <w:rsid w:val="00776879"/>
    <w:pPr>
      <w:numPr>
        <w:numId w:val="7"/>
      </w:numPr>
    </w:pPr>
  </w:style>
  <w:style w:type="paragraph" w:styleId="List2">
    <w:name w:val="List 2"/>
    <w:basedOn w:val="BodyText"/>
    <w:rsid w:val="00776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879"/>
    <w:pPr>
      <w:numPr>
        <w:numId w:val="3"/>
      </w:numPr>
    </w:pPr>
  </w:style>
  <w:style w:type="paragraph" w:styleId="ListContinue2">
    <w:name w:val="List Continue 2"/>
    <w:basedOn w:val="List2"/>
    <w:rsid w:val="00776879"/>
    <w:pPr>
      <w:ind w:firstLine="0"/>
    </w:pPr>
  </w:style>
  <w:style w:type="paragraph" w:styleId="ListContinue3">
    <w:name w:val="List Continue 3"/>
    <w:basedOn w:val="List3"/>
    <w:rsid w:val="00776879"/>
    <w:pPr>
      <w:ind w:left="1021" w:firstLine="0"/>
    </w:pPr>
  </w:style>
  <w:style w:type="paragraph" w:styleId="ListContinue4">
    <w:name w:val="List Continue 4"/>
    <w:basedOn w:val="List4"/>
    <w:rsid w:val="00776879"/>
    <w:pPr>
      <w:ind w:firstLine="0"/>
    </w:pPr>
  </w:style>
  <w:style w:type="paragraph" w:styleId="ListContinue5">
    <w:name w:val="List Continue 5"/>
    <w:basedOn w:val="List5"/>
    <w:rsid w:val="00776879"/>
    <w:pPr>
      <w:ind w:firstLine="0"/>
    </w:pPr>
  </w:style>
  <w:style w:type="paragraph" w:styleId="ListNumber3">
    <w:name w:val="List Number 3"/>
    <w:basedOn w:val="List3"/>
    <w:rsid w:val="00776879"/>
    <w:pPr>
      <w:numPr>
        <w:numId w:val="4"/>
      </w:numPr>
    </w:pPr>
  </w:style>
  <w:style w:type="paragraph" w:styleId="ListNumber4">
    <w:name w:val="List Number 4"/>
    <w:basedOn w:val="List4"/>
    <w:rsid w:val="00776879"/>
    <w:pPr>
      <w:numPr>
        <w:numId w:val="5"/>
      </w:numPr>
    </w:pPr>
  </w:style>
  <w:style w:type="paragraph" w:styleId="ListNumber5">
    <w:name w:val="List Number 5"/>
    <w:basedOn w:val="List5"/>
    <w:rsid w:val="00776879"/>
    <w:pPr>
      <w:numPr>
        <w:numId w:val="6"/>
      </w:numPr>
    </w:pPr>
  </w:style>
  <w:style w:type="paragraph" w:styleId="BlockText">
    <w:name w:val="Block Text"/>
    <w:basedOn w:val="Normal"/>
    <w:rsid w:val="00776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879"/>
    <w:rPr>
      <w:sz w:val="16"/>
      <w:vertAlign w:val="superscript"/>
    </w:rPr>
  </w:style>
  <w:style w:type="character" w:customStyle="1" w:styleId="Symbols">
    <w:name w:val="Symbols"/>
    <w:basedOn w:val="DefaultParagraphFont"/>
    <w:rsid w:val="00776879"/>
    <w:rPr>
      <w:rFonts w:ascii="Symbol" w:hAnsi="Symbol"/>
    </w:rPr>
  </w:style>
  <w:style w:type="character" w:customStyle="1" w:styleId="MenuOptions">
    <w:name w:val="Menu Options"/>
    <w:basedOn w:val="DefaultParagraphFont"/>
    <w:rsid w:val="00776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879"/>
    <w:rPr>
      <w:b/>
    </w:rPr>
  </w:style>
  <w:style w:type="character" w:customStyle="1" w:styleId="Underlined">
    <w:name w:val="Underlined"/>
    <w:basedOn w:val="DefaultParagraphFont"/>
    <w:rsid w:val="00776879"/>
    <w:rPr>
      <w:u w:val="single"/>
    </w:rPr>
  </w:style>
  <w:style w:type="paragraph" w:customStyle="1" w:styleId="TableBodyTextRight">
    <w:name w:val="Table Body Text Right"/>
    <w:basedOn w:val="TableBodyText"/>
    <w:rsid w:val="00776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879"/>
    <w:rPr>
      <w:sz w:val="18"/>
    </w:rPr>
  </w:style>
  <w:style w:type="paragraph" w:customStyle="1" w:styleId="BodySmallRight">
    <w:name w:val="Body Small Right"/>
    <w:basedOn w:val="BodyTextRight"/>
    <w:rsid w:val="00776879"/>
    <w:rPr>
      <w:sz w:val="18"/>
      <w:szCs w:val="18"/>
    </w:rPr>
  </w:style>
  <w:style w:type="paragraph" w:customStyle="1" w:styleId="MarginEdition">
    <w:name w:val="Margin Edition"/>
    <w:basedOn w:val="MarginNote"/>
    <w:rsid w:val="00776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879"/>
    <w:rPr>
      <w:sz w:val="2"/>
      <w:szCs w:val="2"/>
    </w:rPr>
  </w:style>
  <w:style w:type="character" w:customStyle="1" w:styleId="Small">
    <w:name w:val="Small"/>
    <w:basedOn w:val="DefaultParagraphFont"/>
    <w:rsid w:val="00776879"/>
    <w:rPr>
      <w:sz w:val="16"/>
    </w:rPr>
  </w:style>
  <w:style w:type="paragraph" w:customStyle="1" w:styleId="WideTable">
    <w:name w:val="Wide Table"/>
    <w:basedOn w:val="Normal"/>
    <w:rsid w:val="00776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879"/>
  </w:style>
  <w:style w:type="paragraph" w:styleId="Quote">
    <w:name w:val="Quote"/>
    <w:basedOn w:val="Heading1"/>
    <w:link w:val="QuoteChar"/>
    <w:qFormat/>
    <w:rsid w:val="00776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879"/>
    <w:pPr>
      <w:pageBreakBefore/>
    </w:pPr>
  </w:style>
  <w:style w:type="paragraph" w:customStyle="1" w:styleId="Border">
    <w:name w:val="Border"/>
    <w:basedOn w:val="Normal"/>
    <w:qFormat/>
    <w:rsid w:val="00776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879"/>
    <w:rPr>
      <w:u w:val="single"/>
    </w:rPr>
  </w:style>
  <w:style w:type="character" w:customStyle="1" w:styleId="BoldandItalics">
    <w:name w:val="Bold and Italics"/>
    <w:qFormat/>
    <w:rsid w:val="00776879"/>
    <w:rPr>
      <w:b/>
      <w:i/>
      <w:u w:val="none"/>
    </w:rPr>
  </w:style>
  <w:style w:type="paragraph" w:styleId="BalloonText">
    <w:name w:val="Balloon Text"/>
    <w:basedOn w:val="Normal"/>
    <w:link w:val="BalloonTextChar"/>
    <w:rsid w:val="00776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879"/>
    <w:pPr>
      <w:spacing w:before="0" w:after="0"/>
    </w:pPr>
  </w:style>
  <w:style w:type="paragraph" w:customStyle="1" w:styleId="BodyTextBold">
    <w:name w:val="Body Text Bold"/>
    <w:basedOn w:val="BodyText"/>
    <w:qFormat/>
    <w:rsid w:val="00776879"/>
    <w:rPr>
      <w:b/>
    </w:rPr>
  </w:style>
  <w:style w:type="character" w:styleId="Hyperlink">
    <w:name w:val="Hyperlink"/>
    <w:basedOn w:val="DefaultParagraphFont"/>
    <w:uiPriority w:val="99"/>
    <w:unhideWhenUsed/>
    <w:rsid w:val="00CE3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5917</Characters>
  <Application>Microsoft Office Word</Application>
  <DocSecurity>0</DocSecurity>
  <Lines>281</Lines>
  <Paragraphs>155</Paragraphs>
  <ScaleCrop>false</ScaleCrop>
  <Company>Author-it Software Corporation Ltd.</Company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MEM10013 Install split air conditioning systems and associated pipework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