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777" w:rsidP="006B5777">
      <w:pPr>
        <w:pStyle w:val="Title"/>
      </w:pPr>
      <w:r>
        <w:fldChar w:fldCharType="begin"/>
      </w:r>
      <w:r>
        <w:instrText xml:space="preserve"> TITLE   \* MERGEFORMAT </w:instrText>
      </w:r>
      <w:r>
        <w:fldChar w:fldCharType="separate"/>
      </w:r>
      <w:r>
        <w:t>MEM10010 Install pipework and pipework assemblies</w:t>
      </w:r>
      <w:r>
        <w:fldChar w:fldCharType="end"/>
      </w:r>
    </w:p>
    <w:p w:rsidR="006B5777" w:rsidP="006B5777">
      <w:pPr>
        <w:pStyle w:val="Version"/>
        <w:sectPr w:rsidSect="00B43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7BA" w:rsidP="00B437BA">
      <w:pPr>
        <w:pStyle w:val="SuperHeading"/>
      </w:pPr>
      <w:r w:rsidRPr="00B437BA">
        <w:t>MEM10010 Install pipework and pipework assemblies</w:t>
      </w:r>
    </w:p>
    <w:p w:rsidR="00000000" w:rsidRPr="00B437BA" w:rsidP="00B437BA">
      <w:pPr>
        <w:pStyle w:val="Heading1"/>
      </w:pPr>
      <w:bookmarkStart w:id="1" w:name="O_948729"/>
      <w:bookmarkEnd w:id="1"/>
      <w:r w:rsidRPr="00B437BA">
        <w:t>Modification History</w:t>
      </w:r>
    </w:p>
    <w:p w:rsidR="00000000" w:rsidRPr="00B437BA" w:rsidP="006B5777">
      <w:pPr>
        <w:pStyle w:val="BodyText"/>
      </w:pPr>
      <w:r w:rsidRPr="00B437BA">
        <w:t xml:space="preserve">Release 1. Supersedes and is equivalent to MEM10010B Install pipework and pipework assemblies </w:t>
      </w:r>
    </w:p>
    <w:p w:rsidR="00000000" w:rsidRPr="00B437BA" w:rsidP="00B437BA">
      <w:pPr>
        <w:pStyle w:val="Heading1"/>
      </w:pPr>
      <w:bookmarkStart w:id="2" w:name="O_948737"/>
      <w:bookmarkEnd w:id="2"/>
      <w:r w:rsidRPr="00B437BA">
        <w:t>Application</w:t>
      </w:r>
    </w:p>
    <w:p w:rsidR="00000000" w:rsidRPr="00B437BA" w:rsidP="006B5777">
      <w:pPr>
        <w:pStyle w:val="BodyText"/>
      </w:pPr>
      <w:r w:rsidRPr="00B437BA">
        <w:t>This unit of competency defines the skills and knowledge required to plan, prepare and install pipework</w:t>
      </w:r>
      <w:r w:rsidRPr="00B437BA">
        <w:t xml:space="preserve"> and assemblies. </w:t>
      </w:r>
    </w:p>
    <w:p w:rsidR="00000000" w:rsidRPr="00B437BA" w:rsidP="006B5777">
      <w:pPr>
        <w:pStyle w:val="BodyText"/>
      </w:pPr>
      <w:r w:rsidRPr="00B437BA">
        <w:t>Where pipework is to be cut by mechanical or thermal methods, or where welding processes are used, the appropriate unit(s) should also be selected.</w:t>
      </w:r>
    </w:p>
    <w:p w:rsidR="00000000" w:rsidRPr="00B437BA" w:rsidP="006B5777">
      <w:pPr>
        <w:pStyle w:val="BodyText"/>
      </w:pPr>
      <w:r w:rsidRPr="00B437BA">
        <w:t>Where the pipework is to be formed and shaped using mechanical and/or thermal techniques</w:t>
      </w:r>
      <w:r w:rsidRPr="00B437BA">
        <w:t xml:space="preserve"> then unit MEM05010 Apply fabrication, forming and shaping techniques should also be selected. </w:t>
      </w:r>
    </w:p>
    <w:p w:rsidR="00000000" w:rsidRPr="00B437BA" w:rsidP="006B5777">
      <w:pPr>
        <w:pStyle w:val="BodyText"/>
      </w:pPr>
      <w:r w:rsidRPr="00B437BA">
        <w:t xml:space="preserve">Where pipework and assemblies are to be part of a system/process covered by legislative/regulatory requirements, units associated with the appropriate welding </w:t>
      </w:r>
      <w:r w:rsidRPr="00B437BA">
        <w:t>certificates for the pipe material and particular application must also be selected.</w:t>
      </w:r>
    </w:p>
    <w:p w:rsidR="00000000" w:rsidRPr="00B437BA" w:rsidP="006B5777">
      <w:pPr>
        <w:pStyle w:val="BodyText"/>
      </w:pPr>
      <w:r w:rsidRPr="00B437BA">
        <w:t>No licensing, legislative or certification requirements apply to this unit at the time of publication.</w:t>
      </w:r>
    </w:p>
    <w:p w:rsidR="00000000" w:rsidRPr="00B437BA" w:rsidP="00B437BA">
      <w:pPr>
        <w:pStyle w:val="BodyText"/>
      </w:pPr>
      <w:r w:rsidRPr="00B437BA">
        <w:rPr>
          <w:rStyle w:val="SpecialBold"/>
        </w:rPr>
        <w:t>Band</w:t>
      </w:r>
      <w:r w:rsidRPr="00B437BA">
        <w:t>:</w:t>
      </w:r>
      <w:r w:rsidRPr="00B437BA">
        <w:tab/>
      </w:r>
      <w:r w:rsidRPr="00B437BA">
        <w:rPr>
          <w:rStyle w:val="SpecialBold"/>
        </w:rPr>
        <w:t>A</w:t>
      </w:r>
    </w:p>
    <w:p w:rsidR="00000000" w:rsidRPr="00B437BA" w:rsidP="00B437BA">
      <w:pPr>
        <w:pStyle w:val="BodyText"/>
      </w:pPr>
      <w:r w:rsidRPr="00B437BA">
        <w:rPr>
          <w:rStyle w:val="SpecialBold"/>
        </w:rPr>
        <w:t>Unit Weight</w:t>
      </w:r>
      <w:r w:rsidRPr="00B437BA">
        <w:t>:</w:t>
      </w:r>
      <w:r w:rsidRPr="00B437BA">
        <w:tab/>
      </w:r>
      <w:r w:rsidRPr="00B437BA">
        <w:rPr>
          <w:rStyle w:val="SpecialBold"/>
        </w:rPr>
        <w:t>4</w:t>
      </w:r>
    </w:p>
    <w:p w:rsidR="00000000" w:rsidRPr="00B437BA" w:rsidP="00B437BA">
      <w:pPr>
        <w:pStyle w:val="AllowPageBreak"/>
      </w:pPr>
    </w:p>
    <w:p w:rsidR="00000000" w:rsidRPr="00B437BA" w:rsidP="00B437BA">
      <w:pPr>
        <w:pStyle w:val="Heading1"/>
      </w:pPr>
      <w:bookmarkStart w:id="3" w:name="O_948736"/>
      <w:bookmarkEnd w:id="3"/>
      <w:r w:rsidRPr="00B437BA">
        <w:t>Pre-requisite Unit</w:t>
      </w:r>
    </w:p>
    <w:tbl>
      <w:tblPr>
        <w:tblW w:w="0" w:type="auto"/>
        <w:tblLayout w:type="fixed"/>
        <w:tblCellMar>
          <w:left w:w="62" w:type="dxa"/>
          <w:right w:w="62" w:type="dxa"/>
        </w:tblCellMar>
        <w:tblLook w:val="0000"/>
      </w:tblPr>
      <w:tblGrid>
        <w:gridCol w:w="2159"/>
        <w:gridCol w:w="6738"/>
      </w:tblGrid>
      <w:tr w:rsidTr="00B437B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MEM0900</w:t>
            </w:r>
            <w:r w:rsidRPr="00B437BA">
              <w:t>2</w:t>
            </w:r>
          </w:p>
        </w:tc>
        <w:tc>
          <w:tcPr>
            <w:tcW w:w="673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Interpret technical drawing</w:t>
            </w:r>
          </w:p>
        </w:tc>
      </w:tr>
      <w:tr w:rsidTr="00B437B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MEM11011</w:t>
            </w:r>
          </w:p>
        </w:tc>
        <w:tc>
          <w:tcPr>
            <w:tcW w:w="673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Undertake manual handling</w:t>
            </w:r>
          </w:p>
        </w:tc>
      </w:tr>
      <w:tr w:rsidTr="00B437B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MEM12023</w:t>
            </w:r>
          </w:p>
        </w:tc>
        <w:tc>
          <w:tcPr>
            <w:tcW w:w="673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Perform engineering measurements</w:t>
            </w:r>
          </w:p>
        </w:tc>
      </w:tr>
      <w:tr w:rsidTr="00B437B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MEM13015</w:t>
            </w:r>
          </w:p>
        </w:tc>
        <w:tc>
          <w:tcPr>
            <w:tcW w:w="673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Work safely and effectively in manufacturing and engineering</w:t>
            </w:r>
          </w:p>
        </w:tc>
      </w:tr>
      <w:tr w:rsidTr="00B437B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MEM16006</w:t>
            </w:r>
          </w:p>
        </w:tc>
        <w:tc>
          <w:tcPr>
            <w:tcW w:w="673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Organise and communicate information</w:t>
            </w:r>
          </w:p>
        </w:tc>
      </w:tr>
      <w:tr w:rsidTr="00B437B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MEM18001</w:t>
            </w:r>
          </w:p>
        </w:tc>
        <w:tc>
          <w:tcPr>
            <w:tcW w:w="673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Use hand tools</w:t>
            </w:r>
          </w:p>
        </w:tc>
      </w:tr>
      <w:tr w:rsidTr="00B437B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MEM18002</w:t>
            </w:r>
          </w:p>
        </w:tc>
        <w:tc>
          <w:tcPr>
            <w:tcW w:w="6738" w:type="dxa"/>
            <w:tcBorders>
              <w:top w:val="nil"/>
              <w:left w:val="nil"/>
              <w:bottom w:val="nil"/>
              <w:right w:val="nil"/>
            </w:tcBorders>
            <w:tcMar>
              <w:top w:w="0" w:type="dxa"/>
              <w:left w:w="62" w:type="dxa"/>
              <w:bottom w:w="0" w:type="dxa"/>
              <w:right w:w="62" w:type="dxa"/>
            </w:tcMar>
          </w:tcPr>
          <w:p w:rsidR="00000000" w:rsidRPr="00B437BA" w:rsidP="00B437BA">
            <w:pPr>
              <w:pStyle w:val="BodyText"/>
            </w:pPr>
            <w:r w:rsidRPr="00B437BA">
              <w:t>Use power tools/hand held operations</w:t>
            </w:r>
          </w:p>
        </w:tc>
      </w:tr>
    </w:tbl>
    <w:p w:rsidR="00000000" w:rsidRPr="00B437BA" w:rsidP="00B437BA">
      <w:pPr>
        <w:pStyle w:val="BodyText"/>
      </w:pPr>
    </w:p>
    <w:p w:rsidR="00000000" w:rsidRPr="00B437BA" w:rsidP="00B437BA">
      <w:pPr>
        <w:pStyle w:val="AllowPageBreak"/>
      </w:pPr>
    </w:p>
    <w:p w:rsidR="00000000" w:rsidRPr="00B437BA" w:rsidP="00B437BA">
      <w:pPr>
        <w:pStyle w:val="Heading1"/>
      </w:pPr>
      <w:bookmarkStart w:id="4" w:name="O_948735"/>
      <w:bookmarkEnd w:id="4"/>
      <w:r w:rsidRPr="00B437BA">
        <w:t>Competency Field</w:t>
      </w:r>
    </w:p>
    <w:p w:rsidR="00000000" w:rsidRPr="00B437BA" w:rsidP="006B5777">
      <w:pPr>
        <w:pStyle w:val="BodyText"/>
      </w:pPr>
      <w:r w:rsidRPr="00B437BA">
        <w:t>Installation and commissioning</w:t>
      </w:r>
    </w:p>
    <w:p w:rsidR="00000000" w:rsidRPr="00B437BA" w:rsidP="00B437BA">
      <w:pPr>
        <w:pStyle w:val="Heading1"/>
      </w:pPr>
      <w:bookmarkStart w:id="5" w:name="O_948733"/>
      <w:bookmarkEnd w:id="5"/>
      <w:r w:rsidRPr="00B437B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437B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Performance criteria describe the performance needed to demonstrate achievement of the element.</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437BA" w:rsidP="00B437BA">
            <w:pPr>
              <w:pStyle w:val="BodyText"/>
            </w:pPr>
            <w:r w:rsidRPr="00B437BA">
              <w:t>1</w:t>
            </w:r>
          </w:p>
        </w:tc>
        <w:tc>
          <w:tcPr>
            <w:tcW w:w="1986" w:type="dxa"/>
            <w:vMerge w:val="restart"/>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1.1</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Follow standard operating procedures (SOPs)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1.2</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Comply with work health and safety (WHS) requirements at all times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1.3</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Use appropriate personal protective equipment (PPE) in accordance with SOPs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1.4</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Identify job requirements from specifications, drawings, job sheets or work instructions</w:t>
            </w:r>
          </w:p>
        </w:tc>
      </w:tr>
      <w:tr w:rsidTr="00B437B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437BA">
            <w:pPr>
              <w:pStyle w:val="BodyText"/>
              <w:rPr>
                <w:lang w:val="en-NZ"/>
              </w:rPr>
            </w:pP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437BA" w:rsidP="00B437BA">
            <w:pPr>
              <w:pStyle w:val="BodyText"/>
            </w:pPr>
            <w:r w:rsidRPr="00B437BA">
              <w:t>2</w:t>
            </w:r>
          </w:p>
        </w:tc>
        <w:tc>
          <w:tcPr>
            <w:tcW w:w="1986" w:type="dxa"/>
            <w:vMerge w:val="restart"/>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Plan the installation of pipework and pipework assemblies</w:t>
            </w: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2.1</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Ensure quantity and type of pipework and pipework assemblies are selected according to specifications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2.2</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Determine the appropriate sequence for the installation of pipework and pipework assemblies according to the installation type and specifications a</w:t>
            </w:r>
            <w:r w:rsidRPr="00B437BA">
              <w:t>nd other applicable factors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2.3</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Prepare the work area for installation of pipework and pipework assemblies</w:t>
            </w:r>
          </w:p>
        </w:tc>
      </w:tr>
      <w:tr w:rsidTr="00B437B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437BA">
            <w:pPr>
              <w:pStyle w:val="BodyText"/>
              <w:rPr>
                <w:lang w:val="en-NZ"/>
              </w:rPr>
            </w:pP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437BA" w:rsidP="00B437BA">
            <w:pPr>
              <w:pStyle w:val="BodyText"/>
            </w:pPr>
            <w:r w:rsidRPr="00B437BA">
              <w:t>3</w:t>
            </w:r>
          </w:p>
        </w:tc>
        <w:tc>
          <w:tcPr>
            <w:tcW w:w="1986" w:type="dxa"/>
            <w:vMerge w:val="restart"/>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Prepare pipework and pipework assemblies for assembly</w:t>
            </w: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3.1</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Clean pipework according to SOPs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3.2</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Ensure all pipework and assemblies are purged according to SOPs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3.3</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Ensure pipework and assemblies are capped/sealed</w:t>
            </w:r>
          </w:p>
        </w:tc>
      </w:tr>
      <w:tr w:rsidTr="00B437B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437BA">
            <w:pPr>
              <w:pStyle w:val="BodyText"/>
              <w:rPr>
                <w:lang w:val="en-NZ"/>
              </w:rPr>
            </w:pP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437BA" w:rsidP="00B437BA">
            <w:pPr>
              <w:pStyle w:val="BodyText"/>
            </w:pPr>
            <w:r w:rsidRPr="00B437BA">
              <w:t>4</w:t>
            </w:r>
          </w:p>
        </w:tc>
        <w:tc>
          <w:tcPr>
            <w:tcW w:w="1986" w:type="dxa"/>
            <w:vMerge w:val="restart"/>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Install pipework and assemblies</w:t>
            </w: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4.1</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Install enclosures/hangers/support systems without damage or distortion to the surrounding environment or other services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4.2</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Install pipework and assemblies without damage or distortion to pipework, assemblies or surrounding environment or other service</w:t>
            </w:r>
            <w:r w:rsidRPr="00B437BA">
              <w:t>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4.3</w:t>
            </w:r>
          </w:p>
        </w:tc>
        <w:tc>
          <w:tcPr>
            <w:tcW w:w="5678"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Leak test pipework in accordance with SOPs</w:t>
            </w:r>
          </w:p>
        </w:tc>
      </w:tr>
      <w:tr w:rsidTr="00B437B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4.4</w:t>
            </w:r>
          </w:p>
        </w:tc>
        <w:tc>
          <w:tcPr>
            <w:tcW w:w="5678" w:type="dxa"/>
            <w:tcBorders>
              <w:top w:val="nil"/>
              <w:left w:val="nil"/>
              <w:bottom w:val="nil"/>
              <w:right w:val="nil"/>
            </w:tcBorders>
            <w:tcMar>
              <w:top w:w="0" w:type="dxa"/>
              <w:left w:w="62" w:type="dxa"/>
              <w:bottom w:w="0" w:type="dxa"/>
              <w:right w:w="62" w:type="dxa"/>
            </w:tcMar>
          </w:tcPr>
          <w:p w:rsidR="00000000" w:rsidRPr="00B437BA" w:rsidP="00B437BA">
            <w:pPr>
              <w:pStyle w:val="BodyText"/>
            </w:pPr>
            <w:r w:rsidRPr="00B437BA">
              <w:t xml:space="preserve">Install all ancillary devices and materials to specification </w:t>
            </w:r>
          </w:p>
        </w:tc>
      </w:tr>
    </w:tbl>
    <w:p w:rsidR="00000000" w:rsidRPr="00B437BA" w:rsidP="00B437BA">
      <w:pPr>
        <w:pStyle w:val="BodyText"/>
      </w:pPr>
    </w:p>
    <w:p w:rsidR="00000000" w:rsidRPr="00B437BA" w:rsidP="00B437BA">
      <w:pPr>
        <w:pStyle w:val="AllowPageBreak"/>
      </w:pPr>
    </w:p>
    <w:p w:rsidR="00000000" w:rsidRPr="00B437BA" w:rsidP="00B437BA">
      <w:pPr>
        <w:pStyle w:val="Heading1"/>
      </w:pPr>
      <w:bookmarkStart w:id="6" w:name="O_948732"/>
      <w:bookmarkEnd w:id="6"/>
      <w:r w:rsidRPr="00B437BA">
        <w:t>Foundation Skills</w:t>
      </w:r>
    </w:p>
    <w:p w:rsidR="00000000" w:rsidRPr="00B437BA" w:rsidP="006B5777">
      <w:pPr>
        <w:pStyle w:val="BodyText"/>
      </w:pPr>
      <w:r w:rsidRPr="00B437BA">
        <w:t>This section describes those required skills (reading, writing, oral communic</w:t>
      </w:r>
      <w:r w:rsidRPr="00B437BA">
        <w:t xml:space="preserve">ation and numeracy) that are essential to workplace performance in this unit of competency.  </w:t>
      </w:r>
    </w:p>
    <w:p w:rsidR="00000000" w:rsidRPr="00B437BA" w:rsidP="006B5777">
      <w:pPr>
        <w:pStyle w:val="BodyText"/>
      </w:pPr>
      <w:r w:rsidRPr="00B437BA">
        <w:t>Foundation skills essential to performance are explicit in the performance criteria of this unit of competency.</w:t>
      </w:r>
    </w:p>
    <w:p w:rsidR="00000000" w:rsidRPr="00B437BA" w:rsidP="00B437BA">
      <w:pPr>
        <w:pStyle w:val="Heading1"/>
      </w:pPr>
      <w:bookmarkStart w:id="7" w:name="O_948731"/>
      <w:bookmarkEnd w:id="7"/>
      <w:r w:rsidRPr="00B437BA">
        <w:t>Range of Conditions</w:t>
      </w:r>
    </w:p>
    <w:tbl>
      <w:tblPr>
        <w:tblW w:w="9288" w:type="dxa"/>
        <w:tblLayout w:type="fixed"/>
        <w:tblCellMar>
          <w:left w:w="62" w:type="dxa"/>
          <w:right w:w="62" w:type="dxa"/>
        </w:tblCellMar>
        <w:tblLook w:val="0000"/>
      </w:tblPr>
      <w:tblGrid>
        <w:gridCol w:w="2914"/>
        <w:gridCol w:w="6374"/>
      </w:tblGrid>
      <w:tr w:rsidTr="00B437BA">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t>This field a</w:t>
            </w:r>
            <w:r w:rsidRPr="00B437BA">
              <w:t>llows for different work environments and conditions that may affect performance. Essential operating conditions that may be present (depending on the work situation, needs of the candidate, accessibility of the item, and local industry and regional contex</w:t>
            </w:r>
            <w:r w:rsidRPr="00B437BA">
              <w:t>ts) are included.</w:t>
            </w:r>
          </w:p>
        </w:tc>
      </w:tr>
      <w:tr w:rsidTr="00B437BA">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Pipework and pipework assemblies of a variety of sizes and/or wall thickness include one (1) or more of the following:</w:t>
            </w:r>
          </w:p>
        </w:tc>
        <w:tc>
          <w:tcPr>
            <w:tcW w:w="6374" w:type="dxa"/>
            <w:tcBorders>
              <w:top w:val="nil"/>
              <w:left w:val="nil"/>
              <w:bottom w:val="nil"/>
              <w:right w:val="nil"/>
            </w:tcBorders>
            <w:tcMar>
              <w:top w:w="0" w:type="dxa"/>
              <w:left w:w="62" w:type="dxa"/>
              <w:bottom w:w="0" w:type="dxa"/>
              <w:right w:w="62" w:type="dxa"/>
            </w:tcMar>
          </w:tcPr>
          <w:p w:rsidR="00000000" w:rsidRPr="00B437BA" w:rsidP="00B437BA">
            <w:pPr>
              <w:pStyle w:val="ListBullet"/>
            </w:pPr>
            <w:r w:rsidRPr="00B437BA">
              <w:t>ferrous</w:t>
            </w:r>
          </w:p>
          <w:p w:rsidR="00000000" w:rsidRPr="00B437BA" w:rsidP="00B437BA">
            <w:pPr>
              <w:pStyle w:val="ListBullet"/>
            </w:pPr>
            <w:r w:rsidRPr="00B437BA">
              <w:t>non-ferrous</w:t>
            </w:r>
          </w:p>
          <w:p w:rsidR="00000000" w:rsidRPr="00B437BA" w:rsidP="00B437BA">
            <w:pPr>
              <w:pStyle w:val="ListBullet"/>
            </w:pPr>
            <w:r w:rsidRPr="00B437BA">
              <w:t>plastic</w:t>
            </w:r>
          </w:p>
          <w:p w:rsidR="00000000" w:rsidP="00B437BA">
            <w:pPr>
              <w:pStyle w:val="BodyText"/>
              <w:rPr>
                <w:lang w:val="en-NZ"/>
              </w:rPr>
            </w:pPr>
          </w:p>
        </w:tc>
      </w:tr>
      <w:tr w:rsidTr="00B437BA">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Joining systems include one (1) or more of the following:</w:t>
            </w:r>
          </w:p>
        </w:tc>
        <w:tc>
          <w:tcPr>
            <w:tcW w:w="6374" w:type="dxa"/>
            <w:tcBorders>
              <w:top w:val="nil"/>
              <w:left w:val="nil"/>
              <w:bottom w:val="nil"/>
              <w:right w:val="nil"/>
            </w:tcBorders>
            <w:tcMar>
              <w:top w:w="0" w:type="dxa"/>
              <w:left w:w="62" w:type="dxa"/>
              <w:bottom w:w="0" w:type="dxa"/>
              <w:right w:w="62" w:type="dxa"/>
            </w:tcMar>
          </w:tcPr>
          <w:p w:rsidR="00000000" w:rsidRPr="00B437BA" w:rsidP="00B437BA">
            <w:pPr>
              <w:pStyle w:val="ListBullet"/>
            </w:pPr>
            <w:r w:rsidRPr="00B437BA">
              <w:t>collars</w:t>
            </w:r>
          </w:p>
          <w:p w:rsidR="00000000" w:rsidRPr="00B437BA" w:rsidP="00B437BA">
            <w:pPr>
              <w:pStyle w:val="ListBullet"/>
            </w:pPr>
            <w:r w:rsidRPr="00B437BA">
              <w:t>unions</w:t>
            </w:r>
          </w:p>
          <w:p w:rsidR="00000000" w:rsidRPr="00B437BA" w:rsidP="00B437BA">
            <w:pPr>
              <w:pStyle w:val="ListBullet"/>
            </w:pPr>
            <w:r w:rsidRPr="00B437BA">
              <w:t>flanges</w:t>
            </w:r>
          </w:p>
          <w:p w:rsidR="00000000" w:rsidP="00B437BA">
            <w:pPr>
              <w:pStyle w:val="BodyText"/>
              <w:rPr>
                <w:lang w:val="en-NZ"/>
              </w:rPr>
            </w:pPr>
          </w:p>
        </w:tc>
      </w:tr>
      <w:tr w:rsidTr="00B437BA">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Enclosures include the following:</w:t>
            </w:r>
          </w:p>
        </w:tc>
        <w:tc>
          <w:tcPr>
            <w:tcW w:w="6374" w:type="dxa"/>
            <w:tcBorders>
              <w:top w:val="nil"/>
              <w:left w:val="nil"/>
              <w:bottom w:val="nil"/>
              <w:right w:val="nil"/>
            </w:tcBorders>
            <w:tcMar>
              <w:top w:w="0" w:type="dxa"/>
              <w:left w:w="62" w:type="dxa"/>
              <w:bottom w:w="0" w:type="dxa"/>
              <w:right w:w="62" w:type="dxa"/>
            </w:tcMar>
          </w:tcPr>
          <w:p w:rsidR="00000000" w:rsidRPr="00B437BA" w:rsidP="00B437BA">
            <w:pPr>
              <w:pStyle w:val="ListBullet"/>
            </w:pPr>
            <w:r w:rsidRPr="00B437BA">
              <w:t>metal and PVC</w:t>
            </w:r>
          </w:p>
          <w:p w:rsidR="00000000" w:rsidP="00B437BA">
            <w:pPr>
              <w:pStyle w:val="BodyText"/>
              <w:rPr>
                <w:lang w:val="en-NZ"/>
              </w:rPr>
            </w:pPr>
          </w:p>
        </w:tc>
      </w:tr>
      <w:tr w:rsidTr="00B437BA">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Hangers and support systems include one (1) or more of the following:</w:t>
            </w:r>
          </w:p>
        </w:tc>
        <w:tc>
          <w:tcPr>
            <w:tcW w:w="6374" w:type="dxa"/>
            <w:tcBorders>
              <w:top w:val="nil"/>
              <w:left w:val="nil"/>
              <w:bottom w:val="nil"/>
              <w:right w:val="nil"/>
            </w:tcBorders>
            <w:tcMar>
              <w:top w:w="0" w:type="dxa"/>
              <w:left w:w="62" w:type="dxa"/>
              <w:bottom w:w="0" w:type="dxa"/>
              <w:right w:w="62" w:type="dxa"/>
            </w:tcMar>
          </w:tcPr>
          <w:p w:rsidR="00000000" w:rsidRPr="00B437BA" w:rsidP="00B437BA">
            <w:pPr>
              <w:pStyle w:val="ListBullet"/>
            </w:pPr>
            <w:r w:rsidRPr="00B437BA">
              <w:t>pipe/tube bundle support</w:t>
            </w:r>
          </w:p>
          <w:p w:rsidR="00000000" w:rsidRPr="00B437BA" w:rsidP="00B437BA">
            <w:pPr>
              <w:pStyle w:val="ListBullet"/>
            </w:pPr>
            <w:r w:rsidRPr="00B437BA">
              <w:t>ties</w:t>
            </w:r>
          </w:p>
          <w:p w:rsidR="00000000" w:rsidRPr="00B437BA" w:rsidP="00B437BA">
            <w:pPr>
              <w:pStyle w:val="ListBullet"/>
            </w:pPr>
            <w:r w:rsidRPr="00B437BA">
              <w:t>unistrut</w:t>
            </w:r>
          </w:p>
          <w:p w:rsidR="00000000" w:rsidRPr="00B437BA" w:rsidP="00B437BA">
            <w:pPr>
              <w:pStyle w:val="ListBullet"/>
            </w:pPr>
            <w:r w:rsidRPr="00B437BA">
              <w:t>trays</w:t>
            </w:r>
          </w:p>
          <w:p w:rsidR="00000000" w:rsidRPr="00B437BA" w:rsidP="00B437BA">
            <w:pPr>
              <w:pStyle w:val="ListBullet"/>
            </w:pPr>
            <w:r w:rsidRPr="00B437BA">
              <w:t>ladder racks</w:t>
            </w:r>
          </w:p>
          <w:p w:rsidR="00000000" w:rsidRPr="00B437BA" w:rsidP="00B437BA">
            <w:pPr>
              <w:pStyle w:val="ListBullet"/>
            </w:pPr>
            <w:r w:rsidRPr="00B437BA">
              <w:t xml:space="preserve">ducts </w:t>
            </w:r>
          </w:p>
          <w:p w:rsidR="00000000" w:rsidP="00B437BA">
            <w:pPr>
              <w:pStyle w:val="BodyText"/>
              <w:rPr>
                <w:lang w:val="en-NZ"/>
              </w:rPr>
            </w:pPr>
          </w:p>
        </w:tc>
      </w:tr>
      <w:tr w:rsidTr="00B437BA">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Leak tests include one (1) or more of the following:</w:t>
            </w:r>
          </w:p>
        </w:tc>
        <w:tc>
          <w:tcPr>
            <w:tcW w:w="6374" w:type="dxa"/>
            <w:tcBorders>
              <w:top w:val="nil"/>
              <w:left w:val="nil"/>
              <w:bottom w:val="nil"/>
              <w:right w:val="nil"/>
            </w:tcBorders>
            <w:tcMar>
              <w:top w:w="0" w:type="dxa"/>
              <w:left w:w="62" w:type="dxa"/>
              <w:bottom w:w="0" w:type="dxa"/>
              <w:right w:w="62" w:type="dxa"/>
            </w:tcMar>
          </w:tcPr>
          <w:p w:rsidR="00000000" w:rsidRPr="00B437BA" w:rsidP="00B437BA">
            <w:pPr>
              <w:pStyle w:val="ListBullet"/>
            </w:pPr>
            <w:r w:rsidRPr="00B437BA">
              <w:t>soapy water</w:t>
            </w:r>
          </w:p>
          <w:p w:rsidR="00000000" w:rsidRPr="00B437BA" w:rsidP="00B437BA">
            <w:pPr>
              <w:pStyle w:val="ListBullet"/>
            </w:pPr>
            <w:r w:rsidRPr="00B437BA">
              <w:t>water immersion</w:t>
            </w:r>
          </w:p>
          <w:p w:rsidR="00000000" w:rsidRPr="00B437BA" w:rsidP="00B437BA">
            <w:pPr>
              <w:pStyle w:val="ListBullet"/>
            </w:pPr>
            <w:r w:rsidRPr="00B437BA">
              <w:t>compressed air</w:t>
            </w:r>
          </w:p>
          <w:p w:rsidR="00000000" w:rsidP="00B437BA">
            <w:pPr>
              <w:pStyle w:val="BodyText"/>
              <w:rPr>
                <w:lang w:val="en-NZ"/>
              </w:rPr>
            </w:pPr>
          </w:p>
        </w:tc>
      </w:tr>
      <w:tr w:rsidTr="00B437BA">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Ancillary devices and materials include one (1) or more of the following:</w:t>
            </w:r>
          </w:p>
        </w:tc>
        <w:tc>
          <w:tcPr>
            <w:tcW w:w="6374" w:type="dxa"/>
            <w:tcBorders>
              <w:top w:val="nil"/>
              <w:left w:val="nil"/>
              <w:bottom w:val="nil"/>
              <w:right w:val="nil"/>
            </w:tcBorders>
            <w:tcMar>
              <w:top w:w="0" w:type="dxa"/>
              <w:left w:w="62" w:type="dxa"/>
              <w:bottom w:w="0" w:type="dxa"/>
              <w:right w:w="62" w:type="dxa"/>
            </w:tcMar>
          </w:tcPr>
          <w:p w:rsidR="00000000" w:rsidRPr="00B437BA" w:rsidP="00B437BA">
            <w:pPr>
              <w:pStyle w:val="ListBullet"/>
            </w:pPr>
            <w:r w:rsidRPr="00B437BA">
              <w:t>insulation materials</w:t>
            </w:r>
          </w:p>
          <w:p w:rsidR="00000000" w:rsidRPr="00B437BA" w:rsidP="00B437BA">
            <w:pPr>
              <w:pStyle w:val="ListBullet"/>
            </w:pPr>
            <w:r w:rsidRPr="00B437BA">
              <w:t>valve control systems</w:t>
            </w:r>
          </w:p>
          <w:p w:rsidR="00000000" w:rsidP="00B437BA">
            <w:pPr>
              <w:pStyle w:val="BodyText"/>
              <w:rPr>
                <w:lang w:val="en-NZ"/>
              </w:rPr>
            </w:pPr>
          </w:p>
        </w:tc>
      </w:tr>
      <w:tr w:rsidTr="00B437BA">
        <w:tblPrEx>
          <w:tblW w:w="9288"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B437BA">
            <w:pPr>
              <w:pStyle w:val="BodyText"/>
              <w:rPr>
                <w:lang w:val="en-NZ"/>
              </w:rPr>
            </w:pPr>
            <w:r w:rsidRPr="00B437BA">
              <w:rPr>
                <w:rStyle w:val="SpecialBold"/>
              </w:rPr>
              <w:t>Legislation and regulations include the following:</w:t>
            </w:r>
          </w:p>
        </w:tc>
        <w:tc>
          <w:tcPr>
            <w:tcW w:w="6374" w:type="dxa"/>
            <w:tcBorders>
              <w:top w:val="nil"/>
              <w:left w:val="nil"/>
              <w:bottom w:val="nil"/>
              <w:right w:val="nil"/>
            </w:tcBorders>
            <w:tcMar>
              <w:top w:w="0" w:type="dxa"/>
              <w:left w:w="62" w:type="dxa"/>
              <w:bottom w:w="0" w:type="dxa"/>
              <w:right w:w="62" w:type="dxa"/>
            </w:tcMar>
          </w:tcPr>
          <w:p w:rsidR="00000000" w:rsidRPr="00B437BA" w:rsidP="00B437BA">
            <w:pPr>
              <w:pStyle w:val="ListBullet"/>
            </w:pPr>
            <w:r w:rsidRPr="00B437BA">
              <w:t>building regulations and gas/fluid pipeline regulat</w:t>
            </w:r>
            <w:r w:rsidRPr="00B437BA">
              <w:t>ions</w:t>
            </w:r>
          </w:p>
        </w:tc>
      </w:tr>
    </w:tbl>
    <w:p w:rsidR="00000000" w:rsidRPr="00B437BA" w:rsidP="00B437BA">
      <w:pPr>
        <w:pStyle w:val="BodyText"/>
      </w:pPr>
    </w:p>
    <w:p w:rsidR="00000000" w:rsidRPr="00B437BA" w:rsidP="00B437BA">
      <w:pPr>
        <w:pStyle w:val="AllowPageBreak"/>
      </w:pPr>
    </w:p>
    <w:p w:rsidR="00000000" w:rsidRPr="00B437BA" w:rsidP="00B437BA">
      <w:pPr>
        <w:pStyle w:val="Heading1"/>
      </w:pPr>
      <w:bookmarkStart w:id="8" w:name="O_948730"/>
      <w:bookmarkEnd w:id="8"/>
      <w:r w:rsidRPr="00B437BA">
        <w:t>Unit Mapping Information</w:t>
      </w:r>
    </w:p>
    <w:p w:rsidR="00000000" w:rsidRPr="00B437BA" w:rsidP="006B5777">
      <w:pPr>
        <w:pStyle w:val="BodyText"/>
      </w:pPr>
      <w:r w:rsidRPr="00B437BA">
        <w:t xml:space="preserve">Release 1. Supersedes and is equivalent to MEM10010B Install pipework and pipework assemblies </w:t>
      </w:r>
    </w:p>
    <w:p w:rsidR="00000000" w:rsidRPr="00B437BA" w:rsidP="00B437BA">
      <w:pPr>
        <w:pStyle w:val="Heading1"/>
      </w:pPr>
      <w:bookmarkStart w:id="9" w:name="O_948723"/>
      <w:bookmarkEnd w:id="9"/>
      <w:r w:rsidRPr="00B437BA">
        <w:t>Links</w:t>
      </w:r>
    </w:p>
    <w:p w:rsidR="00000000" w:rsidRPr="00B437BA" w:rsidP="006B5777">
      <w:pPr>
        <w:pStyle w:val="BodyText"/>
      </w:pPr>
      <w:r w:rsidRPr="00B437B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192F">
        <w:rPr>
          <w:rStyle w:val="Hyperlink"/>
        </w:rPr>
        <w:t>https://vetnet.gov.au/Pages/TrainingDocs.aspx?q=b7050d37-5fd0-4740-8f7d-3b7a49c10bb2</w:t>
      </w:r>
      <w:r>
        <w:fldChar w:fldCharType="end"/>
      </w:r>
    </w:p>
    <w:p w:rsidR="00000000" w:rsidRPr="00B437BA" w:rsidP="00B437BA"/>
    <w:sectPr w:rsidSect="00B437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BA" w:rsidRPr="006B5777" w:rsidP="006B5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77" w:rsidP="00B43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5777" w:rsidP="00B437B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5777" w:rsidP="00B43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7BA" w:rsidRPr="006B5777" w:rsidP="006B5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777" w:rsidRPr="002D2AF8" w:rsidP="00B437BA">
    <w:pPr>
      <w:pStyle w:val="Header"/>
      <w:framePr w:wrap="around"/>
    </w:pPr>
    <w:r>
      <w:fldChar w:fldCharType="begin"/>
    </w:r>
    <w:r>
      <w:instrText xml:space="preserve"> TITLE   \* MERGEFORMAT </w:instrText>
    </w:r>
    <w:r>
      <w:fldChar w:fldCharType="separate"/>
    </w:r>
    <w:r>
      <w:t>MEM10010 Install pipework and pipework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B5777" w:rsidP="00B43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E8C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F46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7BA"/>
    <w:pPr>
      <w:spacing w:before="360" w:after="60"/>
      <w:outlineLvl w:val="0"/>
    </w:pPr>
    <w:rPr>
      <w:sz w:val="32"/>
    </w:rPr>
  </w:style>
  <w:style w:type="paragraph" w:styleId="Heading2">
    <w:name w:val="heading 2"/>
    <w:basedOn w:val="HeadingBase"/>
    <w:next w:val="BodyText"/>
    <w:link w:val="Heading2Char"/>
    <w:qFormat/>
    <w:rsid w:val="00B437BA"/>
    <w:pPr>
      <w:keepLines/>
      <w:spacing w:before="240" w:after="120"/>
      <w:outlineLvl w:val="1"/>
    </w:pPr>
    <w:rPr>
      <w:sz w:val="28"/>
      <w:szCs w:val="40"/>
    </w:rPr>
  </w:style>
  <w:style w:type="paragraph" w:styleId="Heading3">
    <w:name w:val="heading 3"/>
    <w:basedOn w:val="HeadingBase"/>
    <w:next w:val="BodyText"/>
    <w:link w:val="Heading3Char"/>
    <w:qFormat/>
    <w:rsid w:val="00B437BA"/>
    <w:pPr>
      <w:spacing w:before="180" w:after="120"/>
      <w:outlineLvl w:val="2"/>
    </w:pPr>
    <w:rPr>
      <w:spacing w:val="-10"/>
      <w:kern w:val="32"/>
    </w:rPr>
  </w:style>
  <w:style w:type="paragraph" w:styleId="Heading4">
    <w:name w:val="heading 4"/>
    <w:basedOn w:val="HeadingBase"/>
    <w:next w:val="BodyText"/>
    <w:link w:val="Heading4Char"/>
    <w:qFormat/>
    <w:rsid w:val="00B437BA"/>
    <w:pPr>
      <w:spacing w:before="160" w:after="120"/>
      <w:outlineLvl w:val="3"/>
    </w:pPr>
    <w:rPr>
      <w:sz w:val="22"/>
    </w:rPr>
  </w:style>
  <w:style w:type="paragraph" w:styleId="Heading5">
    <w:name w:val="heading 5"/>
    <w:basedOn w:val="HeadingBase"/>
    <w:next w:val="Normal"/>
    <w:link w:val="Heading5Char"/>
    <w:qFormat/>
    <w:rsid w:val="00B437BA"/>
    <w:pPr>
      <w:spacing w:before="80"/>
      <w:outlineLvl w:val="4"/>
    </w:pPr>
    <w:rPr>
      <w:color w:val="918585"/>
      <w:sz w:val="20"/>
    </w:rPr>
  </w:style>
  <w:style w:type="paragraph" w:styleId="Heading6">
    <w:name w:val="heading 6"/>
    <w:basedOn w:val="HeadingBase"/>
    <w:next w:val="Normal"/>
    <w:link w:val="Heading6Char"/>
    <w:qFormat/>
    <w:rsid w:val="00B437BA"/>
    <w:pPr>
      <w:spacing w:before="60"/>
      <w:outlineLvl w:val="5"/>
    </w:pPr>
    <w:rPr>
      <w:color w:val="918585"/>
      <w:sz w:val="20"/>
    </w:rPr>
  </w:style>
  <w:style w:type="paragraph" w:styleId="Heading7">
    <w:name w:val="heading 7"/>
    <w:basedOn w:val="Normal"/>
    <w:next w:val="Normal"/>
    <w:link w:val="Heading7Char"/>
    <w:qFormat/>
    <w:rsid w:val="00B437BA"/>
    <w:pPr>
      <w:ind w:left="720"/>
      <w:outlineLvl w:val="6"/>
    </w:pPr>
    <w:rPr>
      <w:i/>
    </w:rPr>
  </w:style>
  <w:style w:type="paragraph" w:styleId="Heading8">
    <w:name w:val="heading 8"/>
    <w:basedOn w:val="Normal"/>
    <w:next w:val="Normal"/>
    <w:link w:val="Heading8Char"/>
    <w:qFormat/>
    <w:rsid w:val="00B437BA"/>
    <w:pPr>
      <w:ind w:left="720"/>
      <w:outlineLvl w:val="7"/>
    </w:pPr>
    <w:rPr>
      <w:i/>
    </w:rPr>
  </w:style>
  <w:style w:type="paragraph" w:styleId="Heading9">
    <w:name w:val="heading 9"/>
    <w:basedOn w:val="Normal"/>
    <w:next w:val="Normal"/>
    <w:link w:val="Heading9Char"/>
    <w:qFormat/>
    <w:rsid w:val="00B437BA"/>
    <w:pPr>
      <w:ind w:left="720"/>
      <w:outlineLvl w:val="8"/>
    </w:pPr>
    <w:rPr>
      <w:i/>
    </w:rPr>
  </w:style>
  <w:style w:type="character" w:default="1" w:styleId="DefaultParagraphFont">
    <w:name w:val="Default Paragraph Font"/>
    <w:uiPriority w:val="1"/>
    <w:unhideWhenUsed/>
    <w:rsid w:val="00B43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7BA"/>
  </w:style>
  <w:style w:type="character" w:customStyle="1" w:styleId="Heading1Char">
    <w:name w:val="Heading 1 Char"/>
    <w:basedOn w:val="DefaultParagraphFont"/>
    <w:link w:val="Heading1"/>
    <w:rsid w:val="00B437BA"/>
    <w:rPr>
      <w:rFonts w:ascii="Times New Roman" w:eastAsia="Times New Roman" w:hAnsi="Times New Roman" w:cs="Times New Roman"/>
      <w:b/>
      <w:sz w:val="32"/>
      <w:szCs w:val="20"/>
      <w:lang w:eastAsia="en-US"/>
    </w:rPr>
  </w:style>
  <w:style w:type="paragraph" w:styleId="BodyText">
    <w:name w:val="Body Text"/>
    <w:basedOn w:val="Normal"/>
    <w:link w:val="BodyTextChar"/>
    <w:rsid w:val="00B43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7BA"/>
    <w:rPr>
      <w:rFonts w:ascii="Times New Roman" w:eastAsia="Times New Roman" w:hAnsi="Times New Roman" w:cs="Times New Roman"/>
      <w:sz w:val="24"/>
      <w:lang w:eastAsia="en-US"/>
    </w:rPr>
  </w:style>
  <w:style w:type="paragraph" w:styleId="ListBullet">
    <w:name w:val="List Bullet"/>
    <w:basedOn w:val="List"/>
    <w:rsid w:val="00B437BA"/>
    <w:pPr>
      <w:numPr>
        <w:numId w:val="11"/>
      </w:numPr>
      <w:tabs>
        <w:tab w:val="clear" w:pos="340"/>
      </w:tabs>
      <w:spacing w:before="40" w:after="40"/>
    </w:pPr>
  </w:style>
  <w:style w:type="character" w:customStyle="1" w:styleId="SpecialBold">
    <w:name w:val="Special Bold"/>
    <w:basedOn w:val="DefaultParagraphFont"/>
    <w:rsid w:val="00B437BA"/>
    <w:rPr>
      <w:b/>
      <w:spacing w:val="0"/>
    </w:rPr>
  </w:style>
  <w:style w:type="paragraph" w:customStyle="1" w:styleId="SuperHeading">
    <w:name w:val="SuperHeading"/>
    <w:basedOn w:val="Normal"/>
    <w:rsid w:val="00B437BA"/>
    <w:pPr>
      <w:spacing w:before="240" w:after="120"/>
      <w:outlineLvl w:val="0"/>
    </w:pPr>
    <w:rPr>
      <w:rFonts w:ascii="Times New Roman" w:hAnsi="Times New Roman"/>
      <w:b/>
      <w:sz w:val="32"/>
    </w:rPr>
  </w:style>
  <w:style w:type="paragraph" w:customStyle="1" w:styleId="AllowPageBreak">
    <w:name w:val="AllowPageBreak"/>
    <w:rsid w:val="00B437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7BA"/>
    <w:rPr>
      <w:rFonts w:ascii="Courier New" w:eastAsia="Times New Roman" w:hAnsi="Courier New" w:cs="Times New Roman"/>
      <w:i/>
      <w:szCs w:val="20"/>
      <w:lang w:eastAsia="en-US"/>
    </w:rPr>
  </w:style>
  <w:style w:type="paragraph" w:customStyle="1" w:styleId="HeadingBase">
    <w:name w:val="Heading Base"/>
    <w:rsid w:val="00B43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7BA"/>
    <w:pPr>
      <w:tabs>
        <w:tab w:val="right" w:leader="dot" w:pos="9072"/>
      </w:tabs>
      <w:ind w:left="567"/>
    </w:pPr>
    <w:rPr>
      <w:szCs w:val="22"/>
    </w:rPr>
  </w:style>
  <w:style w:type="paragraph" w:customStyle="1" w:styleId="TOCBase">
    <w:name w:val="TOC Base"/>
    <w:rsid w:val="00B43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7BA"/>
    <w:pPr>
      <w:tabs>
        <w:tab w:val="right" w:leader="dot" w:pos="9072"/>
      </w:tabs>
      <w:spacing w:before="40" w:after="40"/>
      <w:ind w:left="284"/>
    </w:pPr>
    <w:rPr>
      <w:rFonts w:ascii="Times New Roman" w:hAnsi="Times New Roman"/>
    </w:rPr>
  </w:style>
  <w:style w:type="paragraph" w:styleId="TOC1">
    <w:name w:val="toc 1"/>
    <w:basedOn w:val="TOCBase"/>
    <w:next w:val="Normal"/>
    <w:rsid w:val="00B43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7BA"/>
    <w:rPr>
      <w:rFonts w:ascii="Times New Roman" w:eastAsia="Times New Roman" w:hAnsi="Times New Roman" w:cs="Times New Roman"/>
      <w:sz w:val="16"/>
      <w:lang w:eastAsia="en-US"/>
    </w:rPr>
  </w:style>
  <w:style w:type="paragraph" w:styleId="Title">
    <w:name w:val="Title"/>
    <w:basedOn w:val="HeadingBase"/>
    <w:link w:val="TitleChar"/>
    <w:qFormat/>
    <w:rsid w:val="00B437BA"/>
    <w:pPr>
      <w:spacing w:before="5040"/>
      <w:jc w:val="center"/>
    </w:pPr>
    <w:rPr>
      <w:sz w:val="48"/>
      <w:szCs w:val="72"/>
      <w:lang w:val="en-US"/>
    </w:rPr>
  </w:style>
  <w:style w:type="character" w:customStyle="1" w:styleId="TitleChar">
    <w:name w:val="Title Char"/>
    <w:basedOn w:val="DefaultParagraphFont"/>
    <w:link w:val="Title"/>
    <w:rsid w:val="00B43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7BA"/>
    <w:pPr>
      <w:tabs>
        <w:tab w:val="left" w:pos="3600"/>
        <w:tab w:val="left" w:pos="3958"/>
      </w:tabs>
    </w:pPr>
  </w:style>
  <w:style w:type="paragraph" w:styleId="List">
    <w:name w:val="List"/>
    <w:basedOn w:val="BodyText"/>
    <w:next w:val="BodyText"/>
    <w:rsid w:val="00B437BA"/>
    <w:pPr>
      <w:tabs>
        <w:tab w:val="left" w:pos="340"/>
      </w:tabs>
      <w:spacing w:before="60" w:after="60"/>
      <w:ind w:left="340" w:hanging="340"/>
    </w:pPr>
  </w:style>
  <w:style w:type="paragraph" w:customStyle="1" w:styleId="Note">
    <w:name w:val="Note"/>
    <w:basedOn w:val="BodyText"/>
    <w:rsid w:val="00B43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7BA"/>
    <w:pPr>
      <w:framePr w:wrap="auto" w:hAnchor="text" w:y="6049"/>
    </w:pPr>
    <w:rPr>
      <w:color w:val="000000"/>
      <w:sz w:val="40"/>
    </w:rPr>
  </w:style>
  <w:style w:type="paragraph" w:customStyle="1" w:styleId="TOCTitle">
    <w:name w:val="TOCTitle"/>
    <w:basedOn w:val="Heading1"/>
    <w:rsid w:val="00B437BA"/>
    <w:pPr>
      <w:spacing w:after="240"/>
      <w:jc w:val="center"/>
      <w:outlineLvl w:val="9"/>
    </w:pPr>
    <w:rPr>
      <w:caps/>
    </w:rPr>
  </w:style>
  <w:style w:type="paragraph" w:customStyle="1" w:styleId="Version">
    <w:name w:val="Version"/>
    <w:rsid w:val="00B437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7BA"/>
    <w:pPr>
      <w:numPr>
        <w:numId w:val="12"/>
      </w:numPr>
      <w:tabs>
        <w:tab w:val="clear" w:pos="680"/>
      </w:tabs>
    </w:pPr>
  </w:style>
  <w:style w:type="paragraph" w:styleId="Index1">
    <w:name w:val="index 1"/>
    <w:basedOn w:val="Normal"/>
    <w:next w:val="Normal"/>
    <w:semiHidden/>
    <w:rsid w:val="00B437BA"/>
    <w:pPr>
      <w:keepNext w:val="0"/>
      <w:tabs>
        <w:tab w:val="right" w:pos="4176"/>
      </w:tabs>
      <w:ind w:left="198" w:hanging="198"/>
    </w:pPr>
    <w:rPr>
      <w:rFonts w:ascii="Garamond" w:hAnsi="Garamond"/>
    </w:rPr>
  </w:style>
  <w:style w:type="paragraph" w:styleId="IndexHeading">
    <w:name w:val="index heading"/>
    <w:basedOn w:val="Normal"/>
    <w:next w:val="Index1"/>
    <w:semiHidden/>
    <w:rsid w:val="00B437BA"/>
    <w:pPr>
      <w:spacing w:before="120" w:after="120"/>
    </w:pPr>
    <w:rPr>
      <w:rFonts w:ascii="Arial" w:hAnsi="Arial"/>
      <w:b/>
      <w:color w:val="918585"/>
      <w:sz w:val="24"/>
    </w:rPr>
  </w:style>
  <w:style w:type="paragraph" w:styleId="Header">
    <w:name w:val="header"/>
    <w:basedOn w:val="Normal"/>
    <w:link w:val="HeaderChar"/>
    <w:rsid w:val="00B43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7BA"/>
    <w:rPr>
      <w:rFonts w:ascii="Times New Roman" w:eastAsia="Times New Roman" w:hAnsi="Times New Roman" w:cs="Times New Roman"/>
      <w:sz w:val="16"/>
      <w:szCs w:val="20"/>
      <w:lang w:val="en-GB" w:eastAsia="en-US"/>
    </w:rPr>
  </w:style>
  <w:style w:type="paragraph" w:customStyle="1" w:styleId="Chapter">
    <w:name w:val="Chapter"/>
    <w:basedOn w:val="Normal"/>
    <w:rsid w:val="00B437BA"/>
    <w:pPr>
      <w:spacing w:before="240"/>
    </w:pPr>
    <w:rPr>
      <w:rFonts w:ascii="Times New Roman" w:hAnsi="Times New Roman"/>
      <w:smallCaps/>
      <w:spacing w:val="80"/>
      <w:sz w:val="28"/>
    </w:rPr>
  </w:style>
  <w:style w:type="paragraph" w:customStyle="1" w:styleId="InChapter">
    <w:name w:val="InChapter"/>
    <w:basedOn w:val="Heading3"/>
    <w:rsid w:val="00B437BA"/>
    <w:pPr>
      <w:spacing w:after="240"/>
      <w:outlineLvl w:val="9"/>
    </w:pPr>
    <w:rPr>
      <w:noProof/>
    </w:rPr>
  </w:style>
  <w:style w:type="paragraph" w:styleId="Index2">
    <w:name w:val="index 2"/>
    <w:basedOn w:val="Normal"/>
    <w:next w:val="Normal"/>
    <w:semiHidden/>
    <w:rsid w:val="00B437BA"/>
    <w:pPr>
      <w:tabs>
        <w:tab w:val="right" w:pos="4176"/>
      </w:tabs>
      <w:ind w:left="568" w:hanging="284"/>
    </w:pPr>
    <w:rPr>
      <w:rFonts w:ascii="Garamond" w:hAnsi="Garamond"/>
    </w:rPr>
  </w:style>
  <w:style w:type="paragraph" w:customStyle="1" w:styleId="Byline">
    <w:name w:val="Byline"/>
    <w:rsid w:val="00B43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7BA"/>
    <w:pPr>
      <w:tabs>
        <w:tab w:val="clear" w:pos="3600"/>
        <w:tab w:val="clear" w:pos="3958"/>
      </w:tabs>
      <w:jc w:val="right"/>
    </w:pPr>
  </w:style>
  <w:style w:type="character" w:styleId="Emphasis">
    <w:name w:val="Emphasis"/>
    <w:basedOn w:val="DefaultParagraphFont"/>
    <w:qFormat/>
    <w:rsid w:val="00B437BA"/>
    <w:rPr>
      <w:i/>
    </w:rPr>
  </w:style>
  <w:style w:type="paragraph" w:styleId="Caption">
    <w:name w:val="caption"/>
    <w:basedOn w:val="BodyText"/>
    <w:next w:val="Normal"/>
    <w:qFormat/>
    <w:rsid w:val="00B437BA"/>
    <w:pPr>
      <w:framePr w:w="2268" w:hSpace="181" w:vSpace="181" w:wrap="around" w:vAnchor="text" w:hAnchor="page" w:x="1135" w:y="285" w:anchorLock="1"/>
    </w:pPr>
    <w:rPr>
      <w:i/>
    </w:rPr>
  </w:style>
  <w:style w:type="paragraph" w:customStyle="1" w:styleId="MiniTOCTitle">
    <w:name w:val="MiniTOCTitle"/>
    <w:basedOn w:val="Heading4"/>
    <w:rsid w:val="00B437BA"/>
    <w:pPr>
      <w:spacing w:before="240"/>
      <w:outlineLvl w:val="9"/>
    </w:pPr>
    <w:rPr>
      <w:noProof/>
      <w:sz w:val="24"/>
    </w:rPr>
  </w:style>
  <w:style w:type="paragraph" w:customStyle="1" w:styleId="MiniTOCItem">
    <w:name w:val="MiniTOCItem"/>
    <w:basedOn w:val="ListBullet"/>
    <w:rsid w:val="00B437BA"/>
    <w:pPr>
      <w:numPr>
        <w:numId w:val="0"/>
      </w:numPr>
      <w:tabs>
        <w:tab w:val="right" w:leader="dot" w:pos="6521"/>
      </w:tabs>
      <w:spacing w:before="0" w:after="0"/>
    </w:pPr>
  </w:style>
  <w:style w:type="paragraph" w:customStyle="1" w:styleId="TOFTitle">
    <w:name w:val="TOFTitle"/>
    <w:basedOn w:val="TOCTitle"/>
    <w:rsid w:val="00B437BA"/>
  </w:style>
  <w:style w:type="paragraph" w:styleId="TableofFigures">
    <w:name w:val="table of figures"/>
    <w:basedOn w:val="Normal"/>
    <w:next w:val="Normal"/>
    <w:semiHidden/>
    <w:rsid w:val="00B437BA"/>
    <w:pPr>
      <w:tabs>
        <w:tab w:val="right" w:leader="dot" w:pos="9072"/>
      </w:tabs>
      <w:ind w:left="970" w:hanging="403"/>
    </w:pPr>
    <w:rPr>
      <w:rFonts w:ascii="Times New Roman" w:hAnsi="Times New Roman"/>
      <w:b/>
    </w:rPr>
  </w:style>
  <w:style w:type="paragraph" w:styleId="ListNumber">
    <w:name w:val="List Number"/>
    <w:basedOn w:val="List"/>
    <w:rsid w:val="00B437BA"/>
    <w:pPr>
      <w:numPr>
        <w:numId w:val="14"/>
      </w:numPr>
      <w:tabs>
        <w:tab w:val="clear" w:pos="340"/>
      </w:tabs>
    </w:pPr>
  </w:style>
  <w:style w:type="character" w:customStyle="1" w:styleId="WingdingSymbols">
    <w:name w:val="Wingding Symbols"/>
    <w:rsid w:val="00B437BA"/>
    <w:rPr>
      <w:rFonts w:ascii="Wingdings" w:hAnsi="Wingdings"/>
    </w:rPr>
  </w:style>
  <w:style w:type="paragraph" w:customStyle="1" w:styleId="TableHeading">
    <w:name w:val="Table Heading"/>
    <w:basedOn w:val="HeadingBase"/>
    <w:rsid w:val="00B437BA"/>
    <w:pPr>
      <w:keepLines/>
      <w:pBdr>
        <w:bottom w:val="single" w:sz="6" w:space="1" w:color="918585"/>
      </w:pBdr>
      <w:spacing w:before="240"/>
    </w:pPr>
  </w:style>
  <w:style w:type="character" w:customStyle="1" w:styleId="HotSpot">
    <w:name w:val="HotSpot"/>
    <w:rsid w:val="00B437BA"/>
    <w:rPr>
      <w:color w:val="0033CC"/>
      <w:u w:val="none"/>
    </w:rPr>
  </w:style>
  <w:style w:type="paragraph" w:customStyle="1" w:styleId="BodyTextRight">
    <w:name w:val="Body Text Right"/>
    <w:basedOn w:val="BodyText"/>
    <w:rsid w:val="00B437BA"/>
    <w:pPr>
      <w:spacing w:before="0" w:after="0"/>
      <w:jc w:val="right"/>
    </w:pPr>
  </w:style>
  <w:style w:type="paragraph" w:styleId="Index3">
    <w:name w:val="index 3"/>
    <w:basedOn w:val="ListNumber2"/>
    <w:next w:val="Normal"/>
    <w:semiHidden/>
    <w:rsid w:val="00B437BA"/>
    <w:pPr>
      <w:numPr>
        <w:numId w:val="0"/>
      </w:numPr>
      <w:tabs>
        <w:tab w:val="right" w:leader="dot" w:pos="4176"/>
      </w:tabs>
    </w:pPr>
  </w:style>
  <w:style w:type="paragraph" w:styleId="ListNumber2">
    <w:name w:val="List Number 2"/>
    <w:basedOn w:val="List2"/>
    <w:rsid w:val="00B437BA"/>
    <w:pPr>
      <w:numPr>
        <w:numId w:val="9"/>
      </w:numPr>
      <w:tabs>
        <w:tab w:val="clear" w:pos="1060"/>
      </w:tabs>
    </w:pPr>
  </w:style>
  <w:style w:type="paragraph" w:customStyle="1" w:styleId="MarginNote">
    <w:name w:val="Margin Note"/>
    <w:basedOn w:val="BodyText"/>
    <w:rsid w:val="00B43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7BA"/>
    <w:rPr>
      <w:sz w:val="32"/>
    </w:rPr>
  </w:style>
  <w:style w:type="paragraph" w:customStyle="1" w:styleId="HeadingProcedure">
    <w:name w:val="Heading Procedure"/>
    <w:basedOn w:val="HeadingBase"/>
    <w:next w:val="Normal"/>
    <w:rsid w:val="00B437BA"/>
    <w:pPr>
      <w:tabs>
        <w:tab w:val="left" w:pos="0"/>
      </w:tabs>
      <w:spacing w:before="120" w:after="60"/>
    </w:pPr>
    <w:rPr>
      <w:i/>
      <w:color w:val="918585"/>
      <w:sz w:val="22"/>
    </w:rPr>
  </w:style>
  <w:style w:type="paragraph" w:customStyle="1" w:styleId="TableBodyText">
    <w:name w:val="Table Body Text"/>
    <w:basedOn w:val="BodyText"/>
    <w:rsid w:val="00B437BA"/>
    <w:pPr>
      <w:spacing w:before="60" w:after="60"/>
    </w:pPr>
  </w:style>
  <w:style w:type="paragraph" w:styleId="ListContinue">
    <w:name w:val="List Continue"/>
    <w:basedOn w:val="List"/>
    <w:rsid w:val="00B437BA"/>
    <w:pPr>
      <w:ind w:firstLine="0"/>
    </w:pPr>
  </w:style>
  <w:style w:type="paragraph" w:customStyle="1" w:styleId="ListNote">
    <w:name w:val="List Note"/>
    <w:basedOn w:val="List"/>
    <w:rsid w:val="00B437BA"/>
    <w:pPr>
      <w:pBdr>
        <w:top w:val="single" w:sz="6" w:space="2" w:color="918585"/>
        <w:bottom w:val="single" w:sz="6" w:space="2" w:color="918585"/>
      </w:pBdr>
      <w:tabs>
        <w:tab w:val="left" w:pos="1021"/>
      </w:tabs>
      <w:ind w:firstLine="0"/>
    </w:pPr>
  </w:style>
  <w:style w:type="paragraph" w:customStyle="1" w:styleId="Warning">
    <w:name w:val="Warning"/>
    <w:basedOn w:val="BodyText"/>
    <w:rsid w:val="00B437BA"/>
    <w:pPr>
      <w:shd w:val="clear" w:color="auto" w:fill="D9D9D9"/>
      <w:tabs>
        <w:tab w:val="left" w:pos="992"/>
      </w:tabs>
      <w:ind w:left="119" w:right="119"/>
    </w:pPr>
    <w:rPr>
      <w:sz w:val="20"/>
    </w:rPr>
  </w:style>
  <w:style w:type="paragraph" w:customStyle="1" w:styleId="MarginIcons">
    <w:name w:val="Margin Icons"/>
    <w:basedOn w:val="BodyText"/>
    <w:rsid w:val="00B43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7BA"/>
    <w:rPr>
      <w:rFonts w:ascii="Courier New" w:hAnsi="Courier New"/>
    </w:rPr>
  </w:style>
  <w:style w:type="paragraph" w:customStyle="1" w:styleId="NoteBullet">
    <w:name w:val="Note Bullet"/>
    <w:basedOn w:val="Note"/>
    <w:rsid w:val="00B437BA"/>
    <w:pPr>
      <w:tabs>
        <w:tab w:val="clear" w:pos="680"/>
      </w:tabs>
      <w:spacing w:before="60" w:after="60"/>
    </w:pPr>
  </w:style>
  <w:style w:type="paragraph" w:customStyle="1" w:styleId="SubHeading2">
    <w:name w:val="SubHeading2"/>
    <w:basedOn w:val="HeadingBase"/>
    <w:rsid w:val="00B437BA"/>
    <w:pPr>
      <w:spacing w:before="240" w:after="60"/>
    </w:pPr>
    <w:rPr>
      <w:sz w:val="20"/>
    </w:rPr>
  </w:style>
  <w:style w:type="paragraph" w:customStyle="1" w:styleId="SubHeading1">
    <w:name w:val="SubHeading1"/>
    <w:basedOn w:val="HeadingBase"/>
    <w:rsid w:val="00B437BA"/>
    <w:pPr>
      <w:spacing w:before="240" w:after="60"/>
    </w:pPr>
    <w:rPr>
      <w:color w:val="918585"/>
      <w:sz w:val="22"/>
    </w:rPr>
  </w:style>
  <w:style w:type="paragraph" w:customStyle="1" w:styleId="SideHeading">
    <w:name w:val="Side Heading"/>
    <w:basedOn w:val="HeadingBase"/>
    <w:rsid w:val="00B43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7BA"/>
    <w:pPr>
      <w:numPr>
        <w:numId w:val="10"/>
      </w:numPr>
    </w:pPr>
  </w:style>
  <w:style w:type="paragraph" w:styleId="PlainText">
    <w:name w:val="Plain Text"/>
    <w:basedOn w:val="Normal"/>
    <w:link w:val="PlainTextChar"/>
    <w:rsid w:val="00B437BA"/>
    <w:rPr>
      <w:sz w:val="20"/>
    </w:rPr>
  </w:style>
  <w:style w:type="character" w:customStyle="1" w:styleId="PlainTextChar">
    <w:name w:val="Plain Text Char"/>
    <w:basedOn w:val="DefaultParagraphFont"/>
    <w:link w:val="PlainText"/>
    <w:rsid w:val="00B437BA"/>
    <w:rPr>
      <w:rFonts w:ascii="Courier New" w:eastAsia="Times New Roman" w:hAnsi="Courier New" w:cs="Times New Roman"/>
      <w:sz w:val="20"/>
      <w:szCs w:val="20"/>
      <w:lang w:eastAsia="en-US"/>
    </w:rPr>
  </w:style>
  <w:style w:type="character" w:customStyle="1" w:styleId="MenuOption">
    <w:name w:val="Menu Option"/>
    <w:basedOn w:val="DefaultParagraphFont"/>
    <w:rsid w:val="00B437BA"/>
    <w:rPr>
      <w:b/>
      <w:smallCaps/>
    </w:rPr>
  </w:style>
  <w:style w:type="paragraph" w:customStyle="1" w:styleId="TableListNumber">
    <w:name w:val="Table List Number"/>
    <w:basedOn w:val="ListNumber"/>
    <w:rsid w:val="00B437BA"/>
    <w:pPr>
      <w:numPr>
        <w:numId w:val="0"/>
      </w:numPr>
    </w:pPr>
  </w:style>
  <w:style w:type="paragraph" w:styleId="TOC4">
    <w:name w:val="toc 4"/>
    <w:basedOn w:val="TOCBase"/>
    <w:next w:val="Normal"/>
    <w:semiHidden/>
    <w:rsid w:val="00B437BA"/>
    <w:pPr>
      <w:tabs>
        <w:tab w:val="right" w:leader="dot" w:pos="9071"/>
      </w:tabs>
      <w:ind w:left="1701"/>
    </w:pPr>
  </w:style>
  <w:style w:type="paragraph" w:customStyle="1" w:styleId="ListAlpha">
    <w:name w:val="List Alpha"/>
    <w:basedOn w:val="List"/>
    <w:rsid w:val="00B437BA"/>
    <w:pPr>
      <w:numPr>
        <w:numId w:val="8"/>
      </w:numPr>
    </w:pPr>
  </w:style>
  <w:style w:type="paragraph" w:customStyle="1" w:styleId="ListAlpha2">
    <w:name w:val="List Alpha 2"/>
    <w:basedOn w:val="List2"/>
    <w:rsid w:val="00B437BA"/>
    <w:pPr>
      <w:numPr>
        <w:numId w:val="7"/>
      </w:numPr>
    </w:pPr>
  </w:style>
  <w:style w:type="paragraph" w:styleId="List2">
    <w:name w:val="List 2"/>
    <w:basedOn w:val="BodyText"/>
    <w:rsid w:val="00B437BA"/>
    <w:pPr>
      <w:tabs>
        <w:tab w:val="left" w:pos="680"/>
      </w:tabs>
      <w:spacing w:before="60" w:after="60"/>
      <w:ind w:left="680" w:hanging="340"/>
    </w:pPr>
  </w:style>
  <w:style w:type="paragraph" w:styleId="List3">
    <w:name w:val="List 3"/>
    <w:basedOn w:val="BodyText"/>
    <w:rsid w:val="00B437BA"/>
    <w:pPr>
      <w:tabs>
        <w:tab w:val="left" w:pos="1021"/>
      </w:tabs>
      <w:spacing w:before="60" w:after="60"/>
      <w:ind w:left="1020" w:hanging="340"/>
    </w:pPr>
  </w:style>
  <w:style w:type="paragraph" w:styleId="List4">
    <w:name w:val="List 4"/>
    <w:basedOn w:val="BodyText"/>
    <w:rsid w:val="00B437BA"/>
    <w:pPr>
      <w:tabs>
        <w:tab w:val="left" w:pos="1361"/>
      </w:tabs>
      <w:spacing w:before="60" w:after="60"/>
      <w:ind w:left="1361" w:hanging="340"/>
    </w:pPr>
  </w:style>
  <w:style w:type="paragraph" w:styleId="List5">
    <w:name w:val="List 5"/>
    <w:basedOn w:val="BodyText"/>
    <w:rsid w:val="00B437BA"/>
    <w:pPr>
      <w:tabs>
        <w:tab w:val="left" w:pos="1701"/>
      </w:tabs>
      <w:spacing w:before="60" w:after="60"/>
      <w:ind w:left="1701" w:hanging="340"/>
    </w:pPr>
  </w:style>
  <w:style w:type="paragraph" w:styleId="ListBullet3">
    <w:name w:val="List Bullet 3"/>
    <w:basedOn w:val="List3"/>
    <w:rsid w:val="00B437BA"/>
    <w:pPr>
      <w:numPr>
        <w:numId w:val="13"/>
      </w:numPr>
      <w:tabs>
        <w:tab w:val="clear" w:pos="1021"/>
      </w:tabs>
      <w:ind w:left="1037" w:hanging="357"/>
    </w:pPr>
  </w:style>
  <w:style w:type="paragraph" w:styleId="ListBullet4">
    <w:name w:val="List Bullet 4"/>
    <w:basedOn w:val="List4"/>
    <w:rsid w:val="00B437BA"/>
    <w:pPr>
      <w:numPr>
        <w:numId w:val="2"/>
      </w:numPr>
      <w:tabs>
        <w:tab w:val="clear" w:pos="1361"/>
      </w:tabs>
    </w:pPr>
  </w:style>
  <w:style w:type="paragraph" w:styleId="ListBullet5">
    <w:name w:val="List Bullet 5"/>
    <w:basedOn w:val="List5"/>
    <w:rsid w:val="00B437BA"/>
    <w:pPr>
      <w:numPr>
        <w:numId w:val="3"/>
      </w:numPr>
    </w:pPr>
  </w:style>
  <w:style w:type="paragraph" w:styleId="ListContinue2">
    <w:name w:val="List Continue 2"/>
    <w:basedOn w:val="List2"/>
    <w:rsid w:val="00B437BA"/>
    <w:pPr>
      <w:ind w:firstLine="0"/>
    </w:pPr>
  </w:style>
  <w:style w:type="paragraph" w:styleId="ListContinue3">
    <w:name w:val="List Continue 3"/>
    <w:basedOn w:val="List3"/>
    <w:rsid w:val="00B437BA"/>
    <w:pPr>
      <w:ind w:left="1021" w:firstLine="0"/>
    </w:pPr>
  </w:style>
  <w:style w:type="paragraph" w:styleId="ListContinue4">
    <w:name w:val="List Continue 4"/>
    <w:basedOn w:val="List4"/>
    <w:rsid w:val="00B437BA"/>
    <w:pPr>
      <w:ind w:firstLine="0"/>
    </w:pPr>
  </w:style>
  <w:style w:type="paragraph" w:styleId="ListContinue5">
    <w:name w:val="List Continue 5"/>
    <w:basedOn w:val="List5"/>
    <w:rsid w:val="00B437BA"/>
    <w:pPr>
      <w:ind w:firstLine="0"/>
    </w:pPr>
  </w:style>
  <w:style w:type="paragraph" w:styleId="ListNumber3">
    <w:name w:val="List Number 3"/>
    <w:basedOn w:val="List3"/>
    <w:rsid w:val="00B437BA"/>
    <w:pPr>
      <w:numPr>
        <w:numId w:val="4"/>
      </w:numPr>
    </w:pPr>
  </w:style>
  <w:style w:type="paragraph" w:styleId="ListNumber4">
    <w:name w:val="List Number 4"/>
    <w:basedOn w:val="List4"/>
    <w:rsid w:val="00B437BA"/>
    <w:pPr>
      <w:numPr>
        <w:numId w:val="5"/>
      </w:numPr>
    </w:pPr>
  </w:style>
  <w:style w:type="paragraph" w:styleId="ListNumber5">
    <w:name w:val="List Number 5"/>
    <w:basedOn w:val="List5"/>
    <w:rsid w:val="00B437BA"/>
    <w:pPr>
      <w:numPr>
        <w:numId w:val="6"/>
      </w:numPr>
    </w:pPr>
  </w:style>
  <w:style w:type="paragraph" w:styleId="BlockText">
    <w:name w:val="Block Text"/>
    <w:basedOn w:val="Normal"/>
    <w:rsid w:val="00B437BA"/>
    <w:pPr>
      <w:spacing w:after="120"/>
      <w:ind w:left="1440" w:right="1440"/>
    </w:pPr>
  </w:style>
  <w:style w:type="character" w:customStyle="1" w:styleId="Subscript">
    <w:name w:val="Subscript"/>
    <w:basedOn w:val="DefaultParagraphFont"/>
    <w:rsid w:val="00B437BA"/>
    <w:rPr>
      <w:sz w:val="16"/>
      <w:vertAlign w:val="subscript"/>
    </w:rPr>
  </w:style>
  <w:style w:type="character" w:customStyle="1" w:styleId="Superscript">
    <w:name w:val="Superscript"/>
    <w:basedOn w:val="DefaultParagraphFont"/>
    <w:rsid w:val="00B437BA"/>
    <w:rPr>
      <w:sz w:val="16"/>
      <w:vertAlign w:val="superscript"/>
    </w:rPr>
  </w:style>
  <w:style w:type="character" w:customStyle="1" w:styleId="Symbols">
    <w:name w:val="Symbols"/>
    <w:basedOn w:val="DefaultParagraphFont"/>
    <w:rsid w:val="00B437BA"/>
    <w:rPr>
      <w:rFonts w:ascii="Symbol" w:hAnsi="Symbol"/>
    </w:rPr>
  </w:style>
  <w:style w:type="character" w:customStyle="1" w:styleId="MenuOptions">
    <w:name w:val="Menu Options"/>
    <w:basedOn w:val="DefaultParagraphFont"/>
    <w:rsid w:val="00B437BA"/>
    <w:rPr>
      <w:rFonts w:ascii="Arial Narrow" w:hAnsi="Arial Narrow"/>
      <w:smallCaps/>
    </w:rPr>
  </w:style>
  <w:style w:type="character" w:customStyle="1" w:styleId="Buttons">
    <w:name w:val="Buttons"/>
    <w:basedOn w:val="DefaultParagraphFont"/>
    <w:rsid w:val="00B437BA"/>
    <w:rPr>
      <w:b/>
    </w:rPr>
  </w:style>
  <w:style w:type="character" w:customStyle="1" w:styleId="Underlined">
    <w:name w:val="Underlined"/>
    <w:basedOn w:val="DefaultParagraphFont"/>
    <w:rsid w:val="00B437BA"/>
    <w:rPr>
      <w:u w:val="single"/>
    </w:rPr>
  </w:style>
  <w:style w:type="paragraph" w:customStyle="1" w:styleId="TableBodyTextRight">
    <w:name w:val="Table Body Text Right"/>
    <w:basedOn w:val="TableBodyText"/>
    <w:rsid w:val="00B437BA"/>
    <w:pPr>
      <w:widowControl w:val="0"/>
      <w:autoSpaceDE w:val="0"/>
      <w:autoSpaceDN w:val="0"/>
      <w:adjustRightInd w:val="0"/>
      <w:jc w:val="right"/>
    </w:pPr>
    <w:rPr>
      <w:rFonts w:cs="Arial"/>
      <w:szCs w:val="18"/>
    </w:rPr>
  </w:style>
  <w:style w:type="paragraph" w:customStyle="1" w:styleId="CopyrightText">
    <w:name w:val="Copyright Text"/>
    <w:basedOn w:val="BodyText"/>
    <w:rsid w:val="00B437BA"/>
    <w:rPr>
      <w:sz w:val="18"/>
    </w:rPr>
  </w:style>
  <w:style w:type="paragraph" w:customStyle="1" w:styleId="BodySmallRight">
    <w:name w:val="Body Small Right"/>
    <w:basedOn w:val="BodyTextRight"/>
    <w:rsid w:val="00B437BA"/>
    <w:rPr>
      <w:sz w:val="18"/>
      <w:szCs w:val="18"/>
    </w:rPr>
  </w:style>
  <w:style w:type="paragraph" w:customStyle="1" w:styleId="MarginEdition">
    <w:name w:val="Margin Edition"/>
    <w:basedOn w:val="MarginNote"/>
    <w:rsid w:val="00B437BA"/>
    <w:pPr>
      <w:spacing w:before="0" w:after="0"/>
    </w:pPr>
    <w:rPr>
      <w:rFonts w:ascii="Times New Roman" w:hAnsi="Times New Roman"/>
      <w:color w:val="999999"/>
    </w:rPr>
  </w:style>
  <w:style w:type="paragraph" w:customStyle="1" w:styleId="Spacer">
    <w:name w:val="Spacer"/>
    <w:basedOn w:val="Normal"/>
    <w:rsid w:val="00B437BA"/>
    <w:rPr>
      <w:sz w:val="2"/>
      <w:szCs w:val="2"/>
    </w:rPr>
  </w:style>
  <w:style w:type="character" w:customStyle="1" w:styleId="Small">
    <w:name w:val="Small"/>
    <w:basedOn w:val="DefaultParagraphFont"/>
    <w:rsid w:val="00B437BA"/>
    <w:rPr>
      <w:sz w:val="16"/>
    </w:rPr>
  </w:style>
  <w:style w:type="paragraph" w:customStyle="1" w:styleId="WideTable">
    <w:name w:val="Wide Table"/>
    <w:basedOn w:val="Normal"/>
    <w:rsid w:val="00B437BA"/>
    <w:pPr>
      <w:ind w:left="-1418"/>
    </w:pPr>
    <w:rPr>
      <w:sz w:val="2"/>
      <w:szCs w:val="2"/>
    </w:rPr>
  </w:style>
  <w:style w:type="character" w:styleId="PageNumber">
    <w:name w:val="page number"/>
    <w:basedOn w:val="DefaultParagraphFont"/>
    <w:rsid w:val="00B437BA"/>
  </w:style>
  <w:style w:type="paragraph" w:styleId="Quote">
    <w:name w:val="Quote"/>
    <w:basedOn w:val="Heading1"/>
    <w:link w:val="QuoteChar"/>
    <w:qFormat/>
    <w:rsid w:val="00B437BA"/>
    <w:rPr>
      <w:b w:val="0"/>
      <w:sz w:val="72"/>
      <w:szCs w:val="72"/>
      <w:lang w:val="en-NZ"/>
    </w:rPr>
  </w:style>
  <w:style w:type="character" w:customStyle="1" w:styleId="QuoteChar">
    <w:name w:val="Quote Char"/>
    <w:basedOn w:val="DefaultParagraphFont"/>
    <w:link w:val="Quote"/>
    <w:rsid w:val="00B43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7BA"/>
    <w:pPr>
      <w:pageBreakBefore/>
    </w:pPr>
  </w:style>
  <w:style w:type="paragraph" w:customStyle="1" w:styleId="Border">
    <w:name w:val="Border"/>
    <w:basedOn w:val="Normal"/>
    <w:qFormat/>
    <w:rsid w:val="00B43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7BA"/>
    <w:rPr>
      <w:b/>
      <w:bCs/>
      <w:i/>
      <w:iCs/>
      <w:color w:val="auto"/>
    </w:rPr>
  </w:style>
  <w:style w:type="paragraph" w:styleId="IntenseQuote">
    <w:name w:val="Intense Quote"/>
    <w:basedOn w:val="Normal"/>
    <w:next w:val="Normal"/>
    <w:link w:val="IntenseQuoteChar"/>
    <w:uiPriority w:val="30"/>
    <w:qFormat/>
    <w:rsid w:val="00B43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7BA"/>
    <w:rPr>
      <w:smallCaps/>
      <w:color w:val="auto"/>
      <w:u w:val="single"/>
    </w:rPr>
  </w:style>
  <w:style w:type="character" w:styleId="IntenseReference">
    <w:name w:val="Intense Reference"/>
    <w:basedOn w:val="DefaultParagraphFont"/>
    <w:uiPriority w:val="32"/>
    <w:qFormat/>
    <w:rsid w:val="00B437BA"/>
    <w:rPr>
      <w:b/>
      <w:bCs/>
      <w:smallCaps/>
      <w:color w:val="auto"/>
      <w:spacing w:val="5"/>
      <w:u w:val="single"/>
    </w:rPr>
  </w:style>
  <w:style w:type="paragraph" w:customStyle="1" w:styleId="2ColumnHeading">
    <w:name w:val="2Column Heading"/>
    <w:basedOn w:val="BodyText"/>
    <w:qFormat/>
    <w:rsid w:val="00B437BA"/>
    <w:pPr>
      <w:spacing w:after="60"/>
      <w:ind w:left="-2268"/>
    </w:pPr>
    <w:rPr>
      <w:b/>
    </w:rPr>
  </w:style>
  <w:style w:type="paragraph" w:customStyle="1" w:styleId="Heading1TOC">
    <w:name w:val="Heading1 TOC"/>
    <w:basedOn w:val="Normal"/>
    <w:qFormat/>
    <w:rsid w:val="00B437BA"/>
    <w:pPr>
      <w:spacing w:before="240" w:after="120"/>
    </w:pPr>
    <w:rPr>
      <w:rFonts w:ascii="Times New Roman" w:hAnsi="Times New Roman"/>
      <w:b/>
      <w:sz w:val="32"/>
    </w:rPr>
  </w:style>
  <w:style w:type="paragraph" w:customStyle="1" w:styleId="Heading2TOC">
    <w:name w:val="Heading2 TOC"/>
    <w:basedOn w:val="Normal"/>
    <w:qFormat/>
    <w:rsid w:val="00B437BA"/>
    <w:pPr>
      <w:spacing w:before="240" w:after="60"/>
    </w:pPr>
    <w:rPr>
      <w:rFonts w:ascii="Times New Roman" w:hAnsi="Times New Roman"/>
      <w:b/>
      <w:sz w:val="28"/>
    </w:rPr>
  </w:style>
  <w:style w:type="character" w:customStyle="1" w:styleId="Underline">
    <w:name w:val="Underline"/>
    <w:basedOn w:val="DefaultParagraphFont"/>
    <w:qFormat/>
    <w:rsid w:val="00B437BA"/>
    <w:rPr>
      <w:u w:val="single"/>
    </w:rPr>
  </w:style>
  <w:style w:type="character" w:customStyle="1" w:styleId="BoldandItalics">
    <w:name w:val="Bold and Italics"/>
    <w:qFormat/>
    <w:rsid w:val="00B437BA"/>
    <w:rPr>
      <w:b/>
      <w:i/>
      <w:u w:val="none"/>
    </w:rPr>
  </w:style>
  <w:style w:type="paragraph" w:styleId="BalloonText">
    <w:name w:val="Balloon Text"/>
    <w:basedOn w:val="Normal"/>
    <w:link w:val="BalloonTextChar"/>
    <w:rsid w:val="00B437BA"/>
    <w:rPr>
      <w:rFonts w:ascii="Tahoma" w:hAnsi="Tahoma" w:cs="Tahoma"/>
      <w:sz w:val="16"/>
      <w:szCs w:val="16"/>
    </w:rPr>
  </w:style>
  <w:style w:type="character" w:customStyle="1" w:styleId="BalloonTextChar">
    <w:name w:val="Balloon Text Char"/>
    <w:basedOn w:val="DefaultParagraphFont"/>
    <w:link w:val="BalloonText"/>
    <w:rsid w:val="00B43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7BA"/>
    <w:rPr>
      <w:b/>
      <w:color w:val="660033"/>
      <w:spacing w:val="0"/>
    </w:rPr>
  </w:style>
  <w:style w:type="paragraph" w:customStyle="1" w:styleId="Nameditemlist">
    <w:name w:val="Named item list"/>
    <w:basedOn w:val="BodyText"/>
    <w:qFormat/>
    <w:rsid w:val="00B437BA"/>
    <w:pPr>
      <w:tabs>
        <w:tab w:val="left" w:pos="2835"/>
      </w:tabs>
      <w:ind w:left="2835" w:hanging="2835"/>
    </w:pPr>
  </w:style>
  <w:style w:type="paragraph" w:customStyle="1" w:styleId="BodyTextnopadding">
    <w:name w:val="Body Text no padding"/>
    <w:basedOn w:val="BodyText"/>
    <w:qFormat/>
    <w:rsid w:val="00B437BA"/>
    <w:pPr>
      <w:spacing w:before="0" w:after="0"/>
    </w:pPr>
  </w:style>
  <w:style w:type="paragraph" w:customStyle="1" w:styleId="BodyTextBold">
    <w:name w:val="Body Text Bold"/>
    <w:basedOn w:val="BodyText"/>
    <w:qFormat/>
    <w:rsid w:val="00B437BA"/>
    <w:rPr>
      <w:b/>
    </w:rPr>
  </w:style>
  <w:style w:type="character" w:styleId="Hyperlink">
    <w:name w:val="Hyperlink"/>
    <w:basedOn w:val="DefaultParagraphFont"/>
    <w:uiPriority w:val="99"/>
    <w:unhideWhenUsed/>
    <w:rsid w:val="006B5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4156</Characters>
  <Application>Microsoft Office Word</Application>
  <DocSecurity>0</DocSecurity>
  <Lines>218</Lines>
  <Paragraphs>123</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MEM10010 Install pipework and pipework assemblies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