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3C0E" w:rsidP="00C53C0E">
      <w:pPr>
        <w:pStyle w:val="Title"/>
      </w:pPr>
      <w:bookmarkStart w:id="0" w:name="_GoBack"/>
      <w:bookmarkEnd w:id="0"/>
      <w:r>
        <w:fldChar w:fldCharType="begin"/>
      </w:r>
      <w:r>
        <w:instrText xml:space="preserve"> TITLE   \* MERGEFORMAT </w:instrText>
      </w:r>
      <w:r>
        <w:fldChar w:fldCharType="separate"/>
      </w:r>
      <w:r>
        <w:t>MEM10008 Undertake commissioning procedures for plant and/or equipment</w:t>
      </w:r>
      <w:r>
        <w:fldChar w:fldCharType="end"/>
      </w:r>
    </w:p>
    <w:p w:rsidR="00C53C0E" w:rsidP="00C53C0E">
      <w:pPr>
        <w:pStyle w:val="Version"/>
        <w:sectPr w:rsidSect="00BF11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1164" w:rsidP="00BF1164">
      <w:pPr>
        <w:pStyle w:val="SuperHeading"/>
      </w:pPr>
      <w:r w:rsidRPr="00BF1164">
        <w:t>MEM10008 Unde</w:t>
      </w:r>
      <w:r w:rsidRPr="00BF1164">
        <w:t>rtake commissioning procedures for plant and/or equipment</w:t>
      </w:r>
    </w:p>
    <w:p w:rsidR="00000000" w:rsidRPr="00BF1164" w:rsidP="00BF1164">
      <w:pPr>
        <w:pStyle w:val="Heading1"/>
      </w:pPr>
      <w:bookmarkStart w:id="1" w:name="O_1169827"/>
      <w:bookmarkEnd w:id="1"/>
      <w:r w:rsidRPr="00BF1164">
        <w:t>Modification History</w:t>
      </w:r>
    </w:p>
    <w:p w:rsidR="00000000" w:rsidRPr="00BF1164" w:rsidP="00C53C0E">
      <w:pPr>
        <w:pStyle w:val="BodyText"/>
      </w:pPr>
      <w:r w:rsidRPr="00BF1164">
        <w:t xml:space="preserve">Release 2. Quantum of hours of workplace practice removed. Supersedes and is equivalent to MEM10008 Undertake commissioning procedures for plant and/or </w:t>
      </w:r>
      <w:r w:rsidRPr="00BF1164">
        <w:t>equipment (Release 1).</w:t>
      </w:r>
    </w:p>
    <w:p w:rsidR="00000000" w:rsidRPr="00BF1164" w:rsidP="00C53C0E">
      <w:pPr>
        <w:pStyle w:val="BodyText"/>
      </w:pPr>
      <w:r w:rsidRPr="00BF1164">
        <w:t>Release 1. Supersedes and is equivalent to MEM10008B Undertake commissioning procedures for plant and/or equipment.</w:t>
      </w:r>
    </w:p>
    <w:p w:rsidR="00000000" w:rsidRPr="00BF1164" w:rsidP="00BF1164">
      <w:pPr>
        <w:pStyle w:val="Heading1"/>
      </w:pPr>
      <w:bookmarkStart w:id="2" w:name="O_1169826"/>
      <w:bookmarkEnd w:id="2"/>
      <w:r w:rsidRPr="00BF1164">
        <w:t>Application</w:t>
      </w:r>
    </w:p>
    <w:p w:rsidR="00000000" w:rsidRPr="00BF1164" w:rsidP="00C53C0E">
      <w:pPr>
        <w:pStyle w:val="BodyText"/>
      </w:pPr>
      <w:r w:rsidRPr="00BF1164">
        <w:t>This unit of competency defines the skills and knowledge required to undertake commiss</w:t>
      </w:r>
      <w:r w:rsidRPr="00BF1164">
        <w:t xml:space="preserve">ioning work on internally or externally located plant and/or equipment that is new, or replaced, or has been extensively modified (by people usually outside of the commissioning individual or team). </w:t>
      </w:r>
    </w:p>
    <w:p w:rsidR="00000000" w:rsidRPr="00BF1164" w:rsidP="00C53C0E">
      <w:pPr>
        <w:pStyle w:val="BodyText"/>
      </w:pPr>
      <w:r w:rsidRPr="00BF1164">
        <w:t>Where reports are required to be completed see unit MEM</w:t>
      </w:r>
      <w:r w:rsidRPr="00BF1164">
        <w:t>16010 Write reports.</w:t>
      </w:r>
    </w:p>
    <w:p w:rsidR="00000000" w:rsidRPr="00BF1164" w:rsidP="00C53C0E">
      <w:pPr>
        <w:pStyle w:val="BodyText"/>
      </w:pPr>
      <w:r w:rsidRPr="00BF1164">
        <w:t>Where additional specialist applications are required in undertaking commissioning procedures e.g. fluid power, instrumentation and programmable logic controller (PLC), see appropriate units.</w:t>
      </w:r>
    </w:p>
    <w:p w:rsidR="00000000" w:rsidRPr="00BF1164" w:rsidP="00C53C0E">
      <w:pPr>
        <w:pStyle w:val="BodyText"/>
      </w:pPr>
      <w:r w:rsidRPr="00BF1164">
        <w:t>This unit is not intended to be used by m</w:t>
      </w:r>
      <w:r w:rsidRPr="00BF1164">
        <w:t>aintenance personnel completing their own work, including return to service work, as these activities are covered in the following units:</w:t>
      </w:r>
    </w:p>
    <w:p w:rsidR="00000000" w:rsidRPr="00BF1164" w:rsidP="00BF1164">
      <w:pPr>
        <w:pStyle w:val="ListBullet"/>
      </w:pPr>
      <w:r w:rsidRPr="00BF1164">
        <w:t>MEM09011 Apply basic engineering design concepts</w:t>
      </w:r>
    </w:p>
    <w:p w:rsidR="00000000" w:rsidRPr="00BF1164" w:rsidP="00BF1164">
      <w:pPr>
        <w:pStyle w:val="ListBullet"/>
      </w:pPr>
      <w:r w:rsidRPr="00BF1164">
        <w:t>MEM18004 Maintain and overhaul mechanical equipment</w:t>
      </w:r>
    </w:p>
    <w:p w:rsidR="00000000" w:rsidRPr="00BF1164" w:rsidP="00BF1164">
      <w:pPr>
        <w:pStyle w:val="ListBullet"/>
      </w:pPr>
      <w:r w:rsidRPr="00BF1164">
        <w:t>MEM18006 Perform</w:t>
      </w:r>
      <w:r w:rsidRPr="00BF1164">
        <w:t xml:space="preserve"> precision fitting of engineering components</w:t>
      </w:r>
    </w:p>
    <w:p w:rsidR="00000000" w:rsidRPr="00BF1164" w:rsidP="00BF1164">
      <w:pPr>
        <w:pStyle w:val="ListBullet"/>
      </w:pPr>
      <w:r w:rsidRPr="00BF1164">
        <w:t>MEM18054 Fault find, test and calibrate instrumentation systems and equipment</w:t>
      </w:r>
    </w:p>
    <w:p w:rsidR="00000000" w:rsidRPr="00BF1164" w:rsidP="00BF1164">
      <w:pPr>
        <w:pStyle w:val="BodyText"/>
      </w:pPr>
    </w:p>
    <w:p w:rsidR="00000000" w:rsidRPr="00BF1164" w:rsidP="00C53C0E">
      <w:pPr>
        <w:pStyle w:val="BodyText"/>
      </w:pPr>
      <w:r w:rsidRPr="00BF1164">
        <w:t>Some jurisdictions may require the holder of this unit using the refrigeration and air conditioning pathways to be licensed or certi</w:t>
      </w:r>
      <w:r w:rsidRPr="00BF1164">
        <w:t>fied and users should check with the relevant authorities.</w:t>
      </w:r>
    </w:p>
    <w:p w:rsidR="00000000" w:rsidRPr="00BF1164" w:rsidP="00BF1164">
      <w:pPr>
        <w:pStyle w:val="BodyText"/>
      </w:pPr>
      <w:r w:rsidRPr="00BF1164">
        <w:rPr>
          <w:rStyle w:val="SpecialBold"/>
        </w:rPr>
        <w:t>Band</w:t>
      </w:r>
      <w:r w:rsidRPr="00BF1164">
        <w:t>:</w:t>
      </w:r>
      <w:r w:rsidRPr="00BF1164">
        <w:tab/>
      </w:r>
      <w:r w:rsidRPr="00BF1164">
        <w:rPr>
          <w:rStyle w:val="SpecialBold"/>
        </w:rPr>
        <w:t>B</w:t>
      </w:r>
    </w:p>
    <w:p w:rsidR="00000000" w:rsidRPr="00BF1164" w:rsidP="00BF1164">
      <w:pPr>
        <w:pStyle w:val="BodyText"/>
      </w:pPr>
      <w:r w:rsidRPr="00BF1164">
        <w:rPr>
          <w:rStyle w:val="SpecialBold"/>
        </w:rPr>
        <w:t>Unit Weight</w:t>
      </w:r>
      <w:r w:rsidRPr="00BF1164">
        <w:t>:</w:t>
      </w:r>
      <w:r w:rsidRPr="00BF1164">
        <w:tab/>
      </w:r>
      <w:r w:rsidRPr="00BF1164">
        <w:rPr>
          <w:rStyle w:val="SpecialBold"/>
        </w:rPr>
        <w:t>4</w:t>
      </w:r>
    </w:p>
    <w:p w:rsidR="00000000" w:rsidRPr="00BF1164" w:rsidP="00BF1164">
      <w:pPr>
        <w:pStyle w:val="AllowPageBreak"/>
      </w:pPr>
    </w:p>
    <w:p w:rsidR="00000000" w:rsidRPr="00BF1164" w:rsidP="00BF1164">
      <w:pPr>
        <w:pStyle w:val="Heading1"/>
      </w:pPr>
      <w:bookmarkStart w:id="3" w:name="O_1169825"/>
      <w:bookmarkEnd w:id="3"/>
      <w:r w:rsidRPr="00BF1164">
        <w:t>Pre-requisite Unit</w:t>
      </w:r>
    </w:p>
    <w:tbl>
      <w:tblPr>
        <w:tblW w:w="9288" w:type="dxa"/>
        <w:tblLayout w:type="fixed"/>
        <w:tblCellMar>
          <w:left w:w="62" w:type="dxa"/>
          <w:right w:w="62" w:type="dxa"/>
        </w:tblCellMar>
        <w:tblLook w:val="0000"/>
      </w:tblPr>
      <w:tblGrid>
        <w:gridCol w:w="1065"/>
        <w:gridCol w:w="2349"/>
        <w:gridCol w:w="5874"/>
      </w:tblGrid>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rPr>
                <w:rStyle w:val="SpecialBold"/>
              </w:rPr>
              <w:t>Path 1</w:t>
            </w: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MEM09002</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Interpret technical drawing</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MEM10006</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Install machine/plant</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MEM11011</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Undertake manual handling</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MEM12023</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Perform engineering measurements</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MEM12024</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Perform computations</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MEM13015</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Work safely and effectively in manufacturing and engineering</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MEM14006</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Plan work activities</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MEM16006</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Organise and communicate information</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MEM18001</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Use hand tools</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MEM18002</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Use power tools/hand held operations</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MEM18003</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Use tools for precision work</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MEM18006</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Perform precision fitting of engineering components</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MEM18009</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Perform precision levelling and alignment of machines and engineering components</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MEM18055</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Dismantle, replace and assemble engineering components</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rPr>
                <w:rStyle w:val="SpecialBold"/>
              </w:rPr>
              <w:t>Path 2</w:t>
            </w: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MEM09002</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Interpret technical drawing</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MEM11011</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Undertake manual handling</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MEM12002</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Perform electrical/electronic measurement</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MEM12023</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Perform engineering measurements</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MEM12024</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Perform computations</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MEM13015</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Work safely and effectively in manufacturing and engineering</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MEM14006</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Plan work activities</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MEM16006</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Organise and communicate information</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MEM18001</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Use hand tools</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MEM18002</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Use power tools/hand held operations</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MEM18055</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Dismantle, replace and assemble engineering components</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MEM18086</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Test, recover, evacuate and charge refrigeration systems</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MEM18090</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Maintain and repair industrial refrigeration systems and components</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rPr>
                <w:rStyle w:val="SpecialBold"/>
              </w:rPr>
              <w:t>Path 3</w:t>
            </w: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MEM09002</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Interpret technical drawing</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MEM11011</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Undertake manual handling</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MEM12002</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Perform electrical/electronic measurement</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MEM12023</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Perform engineering measurements</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MEM12024</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Perform computations</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MEM13015</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Work safely and effectively in manufacturing and engineering</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MEM14006</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Plan work activities</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MEM16006</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Organise and communicate information</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MEM18001</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Use hand tools</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MEM18002</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Use power tools/hand held operations</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MEM18055</w:t>
            </w:r>
          </w:p>
        </w:tc>
        <w:tc>
          <w:tcPr>
            <w:tcW w:w="5874"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Dismantle, replace and assemble engineering components</w:t>
            </w:r>
          </w:p>
        </w:tc>
      </w:tr>
      <w:tr w:rsidTr="00BF1164">
        <w:tblPrEx>
          <w:tblW w:w="9288" w:type="dxa"/>
          <w:tblLayout w:type="fixed"/>
          <w:tblCellMar>
            <w:left w:w="62" w:type="dxa"/>
            <w:right w:w="62" w:type="dxa"/>
          </w:tblCellMar>
          <w:tblLook w:val="0000"/>
        </w:tblPrEx>
        <w:tc>
          <w:tcPr>
            <w:tcW w:w="10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MEM18089</w:t>
            </w:r>
          </w:p>
        </w:tc>
        <w:tc>
          <w:tcPr>
            <w:tcW w:w="5874" w:type="dxa"/>
            <w:tcBorders>
              <w:top w:val="nil"/>
              <w:left w:val="nil"/>
              <w:bottom w:val="nil"/>
              <w:right w:val="nil"/>
            </w:tcBorders>
            <w:tcMar>
              <w:top w:w="0" w:type="dxa"/>
              <w:left w:w="62" w:type="dxa"/>
              <w:bottom w:w="0" w:type="dxa"/>
              <w:right w:w="62" w:type="dxa"/>
            </w:tcMar>
          </w:tcPr>
          <w:p w:rsidR="00000000" w:rsidRPr="00BF1164" w:rsidP="00BF1164">
            <w:pPr>
              <w:pStyle w:val="BodyText"/>
            </w:pPr>
            <w:r w:rsidRPr="00BF1164">
              <w:t>Maintain and repair central air handling systems</w:t>
            </w:r>
          </w:p>
        </w:tc>
      </w:tr>
    </w:tbl>
    <w:p w:rsidR="00000000" w:rsidRPr="00BF1164" w:rsidP="00BF1164">
      <w:pPr>
        <w:pStyle w:val="BodyText"/>
      </w:pPr>
    </w:p>
    <w:p w:rsidR="00000000" w:rsidRPr="00BF1164" w:rsidP="00BF1164">
      <w:pPr>
        <w:pStyle w:val="AllowPageBreak"/>
      </w:pPr>
    </w:p>
    <w:p w:rsidR="00000000" w:rsidRPr="00BF1164" w:rsidP="00BF1164">
      <w:pPr>
        <w:pStyle w:val="Heading1"/>
      </w:pPr>
      <w:bookmarkStart w:id="4" w:name="O_1169824"/>
      <w:bookmarkEnd w:id="4"/>
      <w:r w:rsidRPr="00BF1164">
        <w:t>Competency Field</w:t>
      </w:r>
    </w:p>
    <w:p w:rsidR="00000000" w:rsidRPr="00BF1164" w:rsidP="00C53C0E">
      <w:pPr>
        <w:pStyle w:val="BodyText"/>
      </w:pPr>
      <w:r w:rsidRPr="00BF1164">
        <w:t>Installation and commissioning</w:t>
      </w:r>
    </w:p>
    <w:p w:rsidR="00000000" w:rsidRPr="00BF1164" w:rsidP="00BF1164">
      <w:pPr>
        <w:pStyle w:val="Heading1"/>
      </w:pPr>
      <w:bookmarkStart w:id="5" w:name="O_1169823"/>
      <w:bookmarkEnd w:id="5"/>
      <w:r w:rsidRPr="00BF1164">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BF1164">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Elements describe t</w:t>
            </w:r>
            <w:r w:rsidRPr="00BF1164">
              <w: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Performance criteria describe the performance needed to demonstrate achievement of the element.</w:t>
            </w:r>
          </w:p>
        </w:tc>
      </w:tr>
      <w:tr w:rsidTr="00BF11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F1164" w:rsidP="00BF1164">
            <w:pPr>
              <w:pStyle w:val="BodyText"/>
            </w:pPr>
            <w:r w:rsidRPr="00BF1164">
              <w:t>1</w:t>
            </w:r>
          </w:p>
        </w:tc>
        <w:tc>
          <w:tcPr>
            <w:tcW w:w="1986" w:type="dxa"/>
            <w:vMerge w:val="restart"/>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1.1</w:t>
            </w:r>
          </w:p>
        </w:tc>
        <w:tc>
          <w:tcPr>
            <w:tcW w:w="5678"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Follow standard operating procedures (SOPs)</w:t>
            </w:r>
          </w:p>
        </w:tc>
      </w:tr>
      <w:tr w:rsidTr="00BF11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1.2</w:t>
            </w:r>
          </w:p>
        </w:tc>
        <w:tc>
          <w:tcPr>
            <w:tcW w:w="5678"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Comply with work health and safety (WHS) requirements at all times</w:t>
            </w:r>
          </w:p>
        </w:tc>
      </w:tr>
      <w:tr w:rsidTr="00BF11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1.3</w:t>
            </w:r>
          </w:p>
        </w:tc>
        <w:tc>
          <w:tcPr>
            <w:tcW w:w="5678"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Use appropriate personal protective equipment (PPE) in accordance with SOPs</w:t>
            </w:r>
          </w:p>
        </w:tc>
      </w:tr>
      <w:tr w:rsidTr="00BF11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1.4</w:t>
            </w:r>
          </w:p>
        </w:tc>
        <w:tc>
          <w:tcPr>
            <w:tcW w:w="5678"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Identify job requirements from specifications, drawings, job sheets or work instructions</w:t>
            </w:r>
          </w:p>
        </w:tc>
      </w:tr>
      <w:tr w:rsidTr="00BF116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F1164">
            <w:pPr>
              <w:pStyle w:val="BodyText"/>
              <w:rPr>
                <w:lang w:val="en-NZ"/>
              </w:rPr>
            </w:pPr>
          </w:p>
        </w:tc>
      </w:tr>
      <w:tr w:rsidTr="00BF11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F1164" w:rsidP="00BF1164">
            <w:pPr>
              <w:pStyle w:val="BodyText"/>
            </w:pPr>
            <w:r w:rsidRPr="00BF1164">
              <w:t>2</w:t>
            </w:r>
          </w:p>
        </w:tc>
        <w:tc>
          <w:tcPr>
            <w:tcW w:w="1986" w:type="dxa"/>
            <w:vMerge w:val="restart"/>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rPr>
                <w:rStyle w:val="SpecialBold"/>
              </w:rPr>
              <w:t>Plan commissioning procedure</w:t>
            </w:r>
          </w:p>
        </w:tc>
        <w:tc>
          <w:tcPr>
            <w:tcW w:w="77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2.1</w:t>
            </w:r>
          </w:p>
        </w:tc>
        <w:tc>
          <w:tcPr>
            <w:tcW w:w="5678"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Determine control system format and understand operational intent</w:t>
            </w:r>
          </w:p>
        </w:tc>
      </w:tr>
      <w:tr w:rsidTr="00BF11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2.2</w:t>
            </w:r>
          </w:p>
        </w:tc>
        <w:tc>
          <w:tcPr>
            <w:tcW w:w="5678"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Sequence commissioning procedures effectively to meet requirement of components and control application</w:t>
            </w:r>
          </w:p>
        </w:tc>
      </w:tr>
      <w:tr w:rsidTr="00BF116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F1164">
            <w:pPr>
              <w:pStyle w:val="BodyText"/>
              <w:rPr>
                <w:lang w:val="en-NZ"/>
              </w:rPr>
            </w:pPr>
          </w:p>
        </w:tc>
      </w:tr>
      <w:tr w:rsidTr="00BF11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F1164" w:rsidP="00BF1164">
            <w:pPr>
              <w:pStyle w:val="BodyText"/>
            </w:pPr>
            <w:r w:rsidRPr="00BF1164">
              <w:t>3</w:t>
            </w:r>
          </w:p>
        </w:tc>
        <w:tc>
          <w:tcPr>
            <w:tcW w:w="1986" w:type="dxa"/>
            <w:vMerge w:val="restart"/>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rPr>
                <w:rStyle w:val="SpecialBold"/>
              </w:rPr>
              <w:t>Assess system performance</w:t>
            </w:r>
          </w:p>
        </w:tc>
        <w:tc>
          <w:tcPr>
            <w:tcW w:w="77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3.1</w:t>
            </w:r>
          </w:p>
        </w:tc>
        <w:tc>
          <w:tcPr>
            <w:tcW w:w="5678"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Use correct measuring/test devices</w:t>
            </w:r>
          </w:p>
        </w:tc>
      </w:tr>
      <w:tr w:rsidTr="00BF11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3.2</w:t>
            </w:r>
          </w:p>
        </w:tc>
        <w:tc>
          <w:tcPr>
            <w:tcW w:w="5678"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Take all necessary measurements/readings at appropriate points</w:t>
            </w:r>
          </w:p>
        </w:tc>
      </w:tr>
      <w:tr w:rsidTr="00BF1164">
        <w:tblPrEx>
          <w:tblW w:w="0" w:type="auto"/>
          <w:tblLayout w:type="fixed"/>
          <w:tblCellMar>
            <w:left w:w="62" w:type="dxa"/>
            <w:right w:w="62" w:type="dxa"/>
          </w:tblCellMar>
          <w:tblLook w:val="0000"/>
        </w:tblPrEx>
        <w:trPr>
          <w:trHeight w:val="481"/>
        </w:trPr>
        <w:tc>
          <w:tcPr>
            <w:tcW w:w="686" w:type="dxa"/>
            <w:vMerge w:val="restart"/>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vMerge w:val="restart"/>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3.3</w:t>
            </w:r>
          </w:p>
        </w:tc>
        <w:tc>
          <w:tcPr>
            <w:tcW w:w="5678" w:type="dxa"/>
            <w:vMerge w:val="restart"/>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Record all variances from specifications in accordance with procedures</w:t>
            </w:r>
          </w:p>
        </w:tc>
      </w:tr>
      <w:tr w:rsidTr="00BF1164">
        <w:tblPrEx>
          <w:tblW w:w="0" w:type="auto"/>
          <w:tblLayout w:type="fixed"/>
          <w:tblCellMar>
            <w:left w:w="62" w:type="dxa"/>
            <w:right w:w="62" w:type="dxa"/>
          </w:tblCellMar>
          <w:tblLook w:val="0000"/>
        </w:tblPrEx>
        <w:trPr>
          <w:trHeight w:val="481"/>
        </w:trPr>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78" w:type="dxa"/>
            <w:vMerge/>
            <w:tcBorders>
              <w:top w:val="nil"/>
              <w:left w:val="nil"/>
              <w:bottom w:val="nil"/>
              <w:right w:val="nil"/>
            </w:tcBorders>
            <w:tcMar>
              <w:top w:w="0" w:type="dxa"/>
              <w:left w:w="62" w:type="dxa"/>
              <w:bottom w:w="0" w:type="dxa"/>
              <w:right w:w="62" w:type="dxa"/>
            </w:tcMar>
          </w:tcPr>
          <w:p w:rsidR="00000000" w:rsidP="00BF1164">
            <w:pPr>
              <w:pStyle w:val="BodyText"/>
              <w:rPr>
                <w:lang w:val="en-NZ"/>
              </w:rPr>
            </w:pPr>
          </w:p>
        </w:tc>
      </w:tr>
      <w:tr w:rsidTr="00BF116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F1164">
            <w:pPr>
              <w:pStyle w:val="BodyText"/>
              <w:rPr>
                <w:lang w:val="en-NZ"/>
              </w:rPr>
            </w:pPr>
          </w:p>
        </w:tc>
      </w:tr>
      <w:tr w:rsidTr="00BF11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F1164" w:rsidP="00BF1164">
            <w:pPr>
              <w:pStyle w:val="BodyText"/>
            </w:pPr>
            <w:r w:rsidRPr="00BF1164">
              <w:t>4</w:t>
            </w:r>
          </w:p>
        </w:tc>
        <w:tc>
          <w:tcPr>
            <w:tcW w:w="1986" w:type="dxa"/>
            <w:vMerge w:val="restart"/>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rPr>
                <w:rStyle w:val="SpecialBold"/>
              </w:rPr>
              <w:t>Adjust plant</w:t>
            </w:r>
          </w:p>
        </w:tc>
        <w:tc>
          <w:tcPr>
            <w:tcW w:w="77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4.1</w:t>
            </w:r>
          </w:p>
        </w:tc>
        <w:tc>
          <w:tcPr>
            <w:tcW w:w="5678"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Adjust plant/system performance to design and operational specifications utilising appropriate and correct techniques</w:t>
            </w:r>
          </w:p>
        </w:tc>
      </w:tr>
      <w:tr w:rsidTr="00BF11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4.2</w:t>
            </w:r>
          </w:p>
        </w:tc>
        <w:tc>
          <w:tcPr>
            <w:tcW w:w="5678"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Resolve technical difficulties in consultation with appropriate technical advisors</w:t>
            </w:r>
          </w:p>
        </w:tc>
      </w:tr>
      <w:tr w:rsidTr="00BF116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F1164">
            <w:pPr>
              <w:pStyle w:val="BodyText"/>
              <w:rPr>
                <w:lang w:val="en-NZ"/>
              </w:rPr>
            </w:pPr>
          </w:p>
        </w:tc>
      </w:tr>
      <w:tr w:rsidTr="00BF116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F1164" w:rsidP="00BF1164">
            <w:pPr>
              <w:pStyle w:val="BodyText"/>
            </w:pPr>
            <w:r w:rsidRPr="00BF1164">
              <w:t>5</w:t>
            </w:r>
          </w:p>
        </w:tc>
        <w:tc>
          <w:tcPr>
            <w:tcW w:w="1986"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rPr>
                <w:rStyle w:val="SpecialBold"/>
              </w:rPr>
              <w:t>Make reports</w:t>
            </w:r>
          </w:p>
        </w:tc>
        <w:tc>
          <w:tcPr>
            <w:tcW w:w="779"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5.1</w:t>
            </w:r>
          </w:p>
        </w:tc>
        <w:tc>
          <w:tcPr>
            <w:tcW w:w="5678" w:type="dxa"/>
            <w:tcBorders>
              <w:top w:val="nil"/>
              <w:left w:val="nil"/>
              <w:bottom w:val="nil"/>
              <w:right w:val="nil"/>
            </w:tcBorders>
            <w:tcMar>
              <w:top w:w="0" w:type="dxa"/>
              <w:left w:w="62" w:type="dxa"/>
              <w:bottom w:w="0" w:type="dxa"/>
              <w:right w:w="62" w:type="dxa"/>
            </w:tcMar>
          </w:tcPr>
          <w:p w:rsidR="00000000" w:rsidRPr="00BF1164" w:rsidP="00BF1164">
            <w:pPr>
              <w:pStyle w:val="BodyText"/>
            </w:pPr>
            <w:r w:rsidRPr="00BF1164">
              <w:t>Ensure report/logs are produced on completed system/plant/machinery/status/performance in accordance with procedures, as required</w:t>
            </w:r>
          </w:p>
        </w:tc>
      </w:tr>
    </w:tbl>
    <w:p w:rsidR="00000000" w:rsidRPr="00BF1164" w:rsidP="00BF1164">
      <w:pPr>
        <w:pStyle w:val="BodyText"/>
      </w:pPr>
    </w:p>
    <w:p w:rsidR="00000000" w:rsidRPr="00BF1164" w:rsidP="00BF1164">
      <w:pPr>
        <w:pStyle w:val="AllowPageBreak"/>
      </w:pPr>
    </w:p>
    <w:p w:rsidR="00000000" w:rsidRPr="00BF1164" w:rsidP="00BF1164">
      <w:pPr>
        <w:pStyle w:val="Heading1"/>
      </w:pPr>
      <w:bookmarkStart w:id="6" w:name="O_1169822"/>
      <w:bookmarkEnd w:id="6"/>
      <w:r w:rsidRPr="00BF1164">
        <w:t>Foundation Skills</w:t>
      </w:r>
    </w:p>
    <w:p w:rsidR="00000000" w:rsidRPr="00BF1164" w:rsidP="00C53C0E">
      <w:pPr>
        <w:pStyle w:val="BodyText"/>
      </w:pPr>
      <w:r w:rsidRPr="00BF1164">
        <w:t xml:space="preserve">This section describes those required skills (reading, writing, oral communication and </w:t>
      </w:r>
      <w:r w:rsidRPr="00BF1164">
        <w:t xml:space="preserve">numeracy) that are essential to workplace performance in this unit of competency.  </w:t>
      </w:r>
    </w:p>
    <w:p w:rsidR="00000000" w:rsidRPr="00BF1164" w:rsidP="00C53C0E">
      <w:pPr>
        <w:pStyle w:val="BodyText"/>
      </w:pPr>
      <w:r w:rsidRPr="00BF1164">
        <w:t>Foundation skills essential to performance are explicit in the performance criteria of this unit of competency.</w:t>
      </w:r>
    </w:p>
    <w:p w:rsidR="00000000" w:rsidRPr="00BF1164" w:rsidP="00BF1164">
      <w:pPr>
        <w:pStyle w:val="Heading1"/>
      </w:pPr>
      <w:bookmarkStart w:id="7" w:name="O_1169821"/>
      <w:bookmarkEnd w:id="7"/>
      <w:r w:rsidRPr="00BF1164">
        <w:t>Range of Conditions</w:t>
      </w:r>
    </w:p>
    <w:tbl>
      <w:tblPr>
        <w:tblW w:w="9288" w:type="dxa"/>
        <w:tblLayout w:type="fixed"/>
        <w:tblCellMar>
          <w:left w:w="62" w:type="dxa"/>
          <w:right w:w="62" w:type="dxa"/>
        </w:tblCellMar>
        <w:tblLook w:val="0000"/>
      </w:tblPr>
      <w:tblGrid>
        <w:gridCol w:w="3012"/>
        <w:gridCol w:w="6276"/>
      </w:tblGrid>
      <w:tr w:rsidTr="00BF1164">
        <w:tblPrEx>
          <w:tblW w:w="9288" w:type="dxa"/>
          <w:tblLayout w:type="fixed"/>
          <w:tblCellMar>
            <w:left w:w="62" w:type="dxa"/>
            <w:right w:w="62" w:type="dxa"/>
          </w:tblCellMar>
          <w:tblLook w:val="0000"/>
        </w:tblPrEx>
        <w:trPr>
          <w:tblHeader/>
        </w:trPr>
        <w:tc>
          <w:tcPr>
            <w:tcW w:w="9288" w:type="dxa"/>
            <w:gridSpan w:val="2"/>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t>This field allows fo</w:t>
            </w:r>
            <w:r w:rsidRPr="00BF1164">
              <w:t xml:space="preserve">r different work environments and conditions that may affect performance. Essential operating conditions that may be present (depending on the work situation, needs of the candidate, accessibility of the item, and local industry and regional contexts) are </w:t>
            </w:r>
            <w:r w:rsidRPr="00BF1164">
              <w:t>included.</w:t>
            </w:r>
          </w:p>
        </w:tc>
      </w:tr>
      <w:tr w:rsidTr="00BF1164">
        <w:tblPrEx>
          <w:tblW w:w="9288"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BF1164">
            <w:pPr>
              <w:pStyle w:val="BodyText"/>
              <w:rPr>
                <w:lang w:val="en-NZ"/>
              </w:rPr>
            </w:pPr>
            <w:r w:rsidRPr="00BF1164">
              <w:rPr>
                <w:rStyle w:val="SpecialBold"/>
              </w:rPr>
              <w:t>Plant/system includes one (1) or more of the following:</w:t>
            </w:r>
          </w:p>
        </w:tc>
        <w:tc>
          <w:tcPr>
            <w:tcW w:w="6276" w:type="dxa"/>
            <w:tcBorders>
              <w:top w:val="nil"/>
              <w:left w:val="nil"/>
              <w:bottom w:val="nil"/>
              <w:right w:val="nil"/>
            </w:tcBorders>
            <w:tcMar>
              <w:top w:w="0" w:type="dxa"/>
              <w:left w:w="62" w:type="dxa"/>
              <w:bottom w:w="0" w:type="dxa"/>
              <w:right w:w="62" w:type="dxa"/>
            </w:tcMar>
          </w:tcPr>
          <w:p w:rsidR="00000000" w:rsidRPr="00BF1164" w:rsidP="00BF1164">
            <w:pPr>
              <w:pStyle w:val="ListBullet"/>
            </w:pPr>
            <w:r w:rsidRPr="00BF1164">
              <w:t>rotating equipment and machinery</w:t>
            </w:r>
          </w:p>
          <w:p w:rsidR="00000000" w:rsidRPr="00BF1164" w:rsidP="00BF1164">
            <w:pPr>
              <w:pStyle w:val="ListBullet"/>
            </w:pPr>
            <w:r w:rsidRPr="00BF1164">
              <w:t>production equipment</w:t>
            </w:r>
          </w:p>
          <w:p w:rsidR="00000000" w:rsidRPr="00BF1164" w:rsidP="00BF1164">
            <w:pPr>
              <w:pStyle w:val="ListBullet"/>
            </w:pPr>
            <w:r w:rsidRPr="00BF1164">
              <w:t>plant and machinery</w:t>
            </w:r>
          </w:p>
          <w:p w:rsidR="00000000" w:rsidRPr="00BF1164" w:rsidP="00BF1164">
            <w:pPr>
              <w:pStyle w:val="ListBullet"/>
            </w:pPr>
            <w:r w:rsidRPr="00BF1164">
              <w:t>process equipment</w:t>
            </w:r>
          </w:p>
          <w:p w:rsidR="00000000" w:rsidRPr="00BF1164" w:rsidP="00BF1164">
            <w:pPr>
              <w:pStyle w:val="ListBullet"/>
            </w:pPr>
            <w:r w:rsidRPr="00BF1164">
              <w:t xml:space="preserve">machine tools </w:t>
            </w:r>
          </w:p>
          <w:p w:rsidR="00000000" w:rsidRPr="00BF1164" w:rsidP="00BF1164">
            <w:pPr>
              <w:pStyle w:val="BodyText"/>
            </w:pPr>
          </w:p>
        </w:tc>
      </w:tr>
    </w:tbl>
    <w:p w:rsidR="00000000" w:rsidRPr="00BF1164" w:rsidP="00BF1164">
      <w:pPr>
        <w:pStyle w:val="BodyText"/>
      </w:pPr>
    </w:p>
    <w:p w:rsidR="00000000" w:rsidRPr="00BF1164" w:rsidP="00BF1164">
      <w:pPr>
        <w:pStyle w:val="AllowPageBreak"/>
      </w:pPr>
    </w:p>
    <w:p w:rsidR="00000000" w:rsidRPr="00BF1164" w:rsidP="00BF1164">
      <w:pPr>
        <w:pStyle w:val="Heading1"/>
      </w:pPr>
      <w:bookmarkStart w:id="8" w:name="O_1169820"/>
      <w:bookmarkEnd w:id="8"/>
      <w:r w:rsidRPr="00BF1164">
        <w:t>Unit Mapping Information</w:t>
      </w:r>
    </w:p>
    <w:p w:rsidR="00000000" w:rsidRPr="00BF1164" w:rsidP="00C53C0E">
      <w:pPr>
        <w:pStyle w:val="BodyText"/>
      </w:pPr>
      <w:r w:rsidRPr="00BF1164">
        <w:t>Release 2. Supersedes and is equivalent to MEM10008 Undertake commissioning procedures for plant and/or equipment (Release 1).</w:t>
      </w:r>
    </w:p>
    <w:p w:rsidR="00000000" w:rsidRPr="00BF1164" w:rsidP="00C53C0E">
      <w:pPr>
        <w:pStyle w:val="BodyText"/>
      </w:pPr>
      <w:r w:rsidRPr="00BF1164">
        <w:t>Release 1. Supersedes and is equivalent to MEM10008B Undertake commissioning procedures for plant and/or equipment.</w:t>
      </w:r>
    </w:p>
    <w:p w:rsidR="00000000" w:rsidRPr="00BF1164" w:rsidP="00BF1164">
      <w:pPr>
        <w:pStyle w:val="Heading1"/>
      </w:pPr>
      <w:bookmarkStart w:id="9" w:name="O_1169828"/>
      <w:bookmarkEnd w:id="9"/>
      <w:r w:rsidRPr="00BF1164">
        <w:t>Links</w:t>
      </w:r>
    </w:p>
    <w:p w:rsidR="00000000" w:rsidRPr="00BF1164" w:rsidP="00C53C0E">
      <w:pPr>
        <w:pStyle w:val="BodyText"/>
      </w:pPr>
      <w:r w:rsidRPr="00BF116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56037">
        <w:rPr>
          <w:rStyle w:val="Hyperlink"/>
        </w:rPr>
        <w:t>https://vetnet.gov.au/Pages/TrainingDocs.aspx?q=b7050d37-5fd0-4740-8f7d-3b7a49c10bb2</w:t>
      </w:r>
      <w:r>
        <w:fldChar w:fldCharType="end"/>
      </w:r>
    </w:p>
    <w:p w:rsidR="00000000" w:rsidRPr="00BF1164" w:rsidP="00BF1164"/>
    <w:sectPr w:rsidSect="00BF11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1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164" w:rsidRPr="00C53C0E" w:rsidP="00C53C0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1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0E" w:rsidP="00BF116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3C0E" w:rsidP="00BF116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3C0E" w:rsidP="00BF11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1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1164" w:rsidRPr="00C53C0E" w:rsidP="00C53C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1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0E" w:rsidRPr="002D2AF8" w:rsidP="00BF1164">
    <w:pPr>
      <w:pStyle w:val="Header"/>
      <w:framePr w:wrap="around"/>
    </w:pPr>
    <w:r>
      <w:fldChar w:fldCharType="begin"/>
    </w:r>
    <w:r>
      <w:instrText xml:space="preserve"> TITLE   \* MERGEFORMAT </w:instrText>
    </w:r>
    <w:r>
      <w:fldChar w:fldCharType="separate"/>
    </w:r>
    <w:r>
      <w:t>MEM10008 Undertake commissioning procedures for plant and/or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53C0E" w:rsidP="00BF11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2C2E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9AFD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1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1164"/>
    <w:pPr>
      <w:spacing w:before="360" w:after="60"/>
      <w:outlineLvl w:val="0"/>
    </w:pPr>
    <w:rPr>
      <w:sz w:val="32"/>
    </w:rPr>
  </w:style>
  <w:style w:type="paragraph" w:styleId="Heading2">
    <w:name w:val="heading 2"/>
    <w:basedOn w:val="HeadingBase"/>
    <w:next w:val="BodyText"/>
    <w:link w:val="Heading2Char"/>
    <w:qFormat/>
    <w:rsid w:val="00BF1164"/>
    <w:pPr>
      <w:keepLines/>
      <w:spacing w:before="240" w:after="120"/>
      <w:outlineLvl w:val="1"/>
    </w:pPr>
    <w:rPr>
      <w:sz w:val="28"/>
      <w:szCs w:val="40"/>
    </w:rPr>
  </w:style>
  <w:style w:type="paragraph" w:styleId="Heading3">
    <w:name w:val="heading 3"/>
    <w:basedOn w:val="HeadingBase"/>
    <w:next w:val="BodyText"/>
    <w:link w:val="Heading3Char"/>
    <w:qFormat/>
    <w:rsid w:val="00BF1164"/>
    <w:pPr>
      <w:spacing w:before="180" w:after="120"/>
      <w:outlineLvl w:val="2"/>
    </w:pPr>
    <w:rPr>
      <w:spacing w:val="-10"/>
      <w:kern w:val="32"/>
    </w:rPr>
  </w:style>
  <w:style w:type="paragraph" w:styleId="Heading4">
    <w:name w:val="heading 4"/>
    <w:basedOn w:val="HeadingBase"/>
    <w:next w:val="BodyText"/>
    <w:link w:val="Heading4Char"/>
    <w:qFormat/>
    <w:rsid w:val="00BF1164"/>
    <w:pPr>
      <w:spacing w:before="160" w:after="120"/>
      <w:outlineLvl w:val="3"/>
    </w:pPr>
    <w:rPr>
      <w:sz w:val="22"/>
    </w:rPr>
  </w:style>
  <w:style w:type="paragraph" w:styleId="Heading5">
    <w:name w:val="heading 5"/>
    <w:basedOn w:val="HeadingBase"/>
    <w:next w:val="Normal"/>
    <w:link w:val="Heading5Char"/>
    <w:qFormat/>
    <w:rsid w:val="00BF1164"/>
    <w:pPr>
      <w:spacing w:before="80"/>
      <w:outlineLvl w:val="4"/>
    </w:pPr>
    <w:rPr>
      <w:color w:val="918585"/>
      <w:sz w:val="20"/>
    </w:rPr>
  </w:style>
  <w:style w:type="paragraph" w:styleId="Heading6">
    <w:name w:val="heading 6"/>
    <w:basedOn w:val="HeadingBase"/>
    <w:next w:val="Normal"/>
    <w:link w:val="Heading6Char"/>
    <w:qFormat/>
    <w:rsid w:val="00BF1164"/>
    <w:pPr>
      <w:spacing w:before="60"/>
      <w:outlineLvl w:val="5"/>
    </w:pPr>
    <w:rPr>
      <w:color w:val="918585"/>
      <w:sz w:val="20"/>
    </w:rPr>
  </w:style>
  <w:style w:type="paragraph" w:styleId="Heading7">
    <w:name w:val="heading 7"/>
    <w:basedOn w:val="Normal"/>
    <w:next w:val="Normal"/>
    <w:link w:val="Heading7Char"/>
    <w:qFormat/>
    <w:rsid w:val="00BF1164"/>
    <w:pPr>
      <w:ind w:left="720"/>
      <w:outlineLvl w:val="6"/>
    </w:pPr>
    <w:rPr>
      <w:i/>
    </w:rPr>
  </w:style>
  <w:style w:type="paragraph" w:styleId="Heading8">
    <w:name w:val="heading 8"/>
    <w:basedOn w:val="Normal"/>
    <w:next w:val="Normal"/>
    <w:link w:val="Heading8Char"/>
    <w:qFormat/>
    <w:rsid w:val="00BF1164"/>
    <w:pPr>
      <w:ind w:left="720"/>
      <w:outlineLvl w:val="7"/>
    </w:pPr>
    <w:rPr>
      <w:i/>
    </w:rPr>
  </w:style>
  <w:style w:type="paragraph" w:styleId="Heading9">
    <w:name w:val="heading 9"/>
    <w:basedOn w:val="Normal"/>
    <w:next w:val="Normal"/>
    <w:link w:val="Heading9Char"/>
    <w:qFormat/>
    <w:rsid w:val="00BF1164"/>
    <w:pPr>
      <w:ind w:left="720"/>
      <w:outlineLvl w:val="8"/>
    </w:pPr>
    <w:rPr>
      <w:i/>
    </w:rPr>
  </w:style>
  <w:style w:type="character" w:default="1" w:styleId="DefaultParagraphFont">
    <w:name w:val="Default Paragraph Font"/>
    <w:uiPriority w:val="1"/>
    <w:unhideWhenUsed/>
    <w:rsid w:val="00BF11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164"/>
  </w:style>
  <w:style w:type="character" w:customStyle="1" w:styleId="Heading1Char">
    <w:name w:val="Heading 1 Char"/>
    <w:basedOn w:val="DefaultParagraphFont"/>
    <w:link w:val="Heading1"/>
    <w:rsid w:val="00BF1164"/>
    <w:rPr>
      <w:rFonts w:ascii="Times New Roman" w:eastAsia="Times New Roman" w:hAnsi="Times New Roman" w:cs="Times New Roman"/>
      <w:b/>
      <w:sz w:val="32"/>
      <w:szCs w:val="20"/>
      <w:lang w:eastAsia="en-US"/>
    </w:rPr>
  </w:style>
  <w:style w:type="paragraph" w:styleId="BodyText">
    <w:name w:val="Body Text"/>
    <w:basedOn w:val="Normal"/>
    <w:link w:val="BodyTextChar"/>
    <w:rsid w:val="00BF11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1164"/>
    <w:rPr>
      <w:rFonts w:ascii="Times New Roman" w:eastAsia="Times New Roman" w:hAnsi="Times New Roman" w:cs="Times New Roman"/>
      <w:sz w:val="24"/>
      <w:lang w:eastAsia="en-US"/>
    </w:rPr>
  </w:style>
  <w:style w:type="paragraph" w:styleId="ListBullet">
    <w:name w:val="List Bullet"/>
    <w:basedOn w:val="List"/>
    <w:rsid w:val="00BF1164"/>
    <w:pPr>
      <w:numPr>
        <w:numId w:val="11"/>
      </w:numPr>
      <w:tabs>
        <w:tab w:val="clear" w:pos="340"/>
      </w:tabs>
      <w:spacing w:before="40" w:after="40"/>
    </w:pPr>
  </w:style>
  <w:style w:type="character" w:customStyle="1" w:styleId="SpecialBold">
    <w:name w:val="Special Bold"/>
    <w:basedOn w:val="DefaultParagraphFont"/>
    <w:rsid w:val="00BF1164"/>
    <w:rPr>
      <w:b/>
      <w:spacing w:val="0"/>
    </w:rPr>
  </w:style>
  <w:style w:type="paragraph" w:customStyle="1" w:styleId="SuperHeading">
    <w:name w:val="SuperHeading"/>
    <w:basedOn w:val="Normal"/>
    <w:rsid w:val="00BF1164"/>
    <w:pPr>
      <w:spacing w:before="240" w:after="120"/>
      <w:outlineLvl w:val="0"/>
    </w:pPr>
    <w:rPr>
      <w:rFonts w:ascii="Times New Roman" w:hAnsi="Times New Roman"/>
      <w:b/>
      <w:sz w:val="32"/>
    </w:rPr>
  </w:style>
  <w:style w:type="paragraph" w:customStyle="1" w:styleId="AllowPageBreak">
    <w:name w:val="AllowPageBreak"/>
    <w:rsid w:val="00BF11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11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1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1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1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1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1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11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1164"/>
    <w:rPr>
      <w:rFonts w:ascii="Courier New" w:eastAsia="Times New Roman" w:hAnsi="Courier New" w:cs="Times New Roman"/>
      <w:i/>
      <w:szCs w:val="20"/>
      <w:lang w:eastAsia="en-US"/>
    </w:rPr>
  </w:style>
  <w:style w:type="paragraph" w:customStyle="1" w:styleId="HeadingBase">
    <w:name w:val="Heading Base"/>
    <w:rsid w:val="00BF11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164"/>
    <w:pPr>
      <w:tabs>
        <w:tab w:val="right" w:leader="dot" w:pos="9072"/>
      </w:tabs>
      <w:ind w:left="567"/>
    </w:pPr>
    <w:rPr>
      <w:szCs w:val="22"/>
    </w:rPr>
  </w:style>
  <w:style w:type="paragraph" w:customStyle="1" w:styleId="TOCBase">
    <w:name w:val="TOC Base"/>
    <w:rsid w:val="00BF11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164"/>
    <w:pPr>
      <w:tabs>
        <w:tab w:val="right" w:leader="dot" w:pos="9072"/>
      </w:tabs>
      <w:spacing w:before="40" w:after="40"/>
      <w:ind w:left="284"/>
    </w:pPr>
    <w:rPr>
      <w:rFonts w:ascii="Times New Roman" w:hAnsi="Times New Roman"/>
    </w:rPr>
  </w:style>
  <w:style w:type="paragraph" w:styleId="TOC1">
    <w:name w:val="toc 1"/>
    <w:basedOn w:val="TOCBase"/>
    <w:next w:val="Normal"/>
    <w:rsid w:val="00BF11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11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164"/>
    <w:rPr>
      <w:rFonts w:ascii="Times New Roman" w:eastAsia="Times New Roman" w:hAnsi="Times New Roman" w:cs="Times New Roman"/>
      <w:sz w:val="16"/>
      <w:lang w:eastAsia="en-US"/>
    </w:rPr>
  </w:style>
  <w:style w:type="paragraph" w:styleId="Title">
    <w:name w:val="Title"/>
    <w:basedOn w:val="HeadingBase"/>
    <w:link w:val="TitleChar"/>
    <w:qFormat/>
    <w:rsid w:val="00BF1164"/>
    <w:pPr>
      <w:spacing w:before="5040"/>
      <w:jc w:val="center"/>
    </w:pPr>
    <w:rPr>
      <w:sz w:val="48"/>
      <w:szCs w:val="72"/>
      <w:lang w:val="en-US"/>
    </w:rPr>
  </w:style>
  <w:style w:type="character" w:customStyle="1" w:styleId="TitleChar">
    <w:name w:val="Title Char"/>
    <w:basedOn w:val="DefaultParagraphFont"/>
    <w:link w:val="Title"/>
    <w:rsid w:val="00BF11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164"/>
    <w:pPr>
      <w:tabs>
        <w:tab w:val="left" w:pos="3600"/>
        <w:tab w:val="left" w:pos="3958"/>
      </w:tabs>
    </w:pPr>
  </w:style>
  <w:style w:type="paragraph" w:styleId="List">
    <w:name w:val="List"/>
    <w:basedOn w:val="BodyText"/>
    <w:next w:val="BodyText"/>
    <w:rsid w:val="00BF1164"/>
    <w:pPr>
      <w:tabs>
        <w:tab w:val="left" w:pos="340"/>
      </w:tabs>
      <w:spacing w:before="60" w:after="60"/>
      <w:ind w:left="340" w:hanging="340"/>
    </w:pPr>
  </w:style>
  <w:style w:type="paragraph" w:customStyle="1" w:styleId="Note">
    <w:name w:val="Note"/>
    <w:basedOn w:val="BodyText"/>
    <w:rsid w:val="00BF11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164"/>
    <w:pPr>
      <w:framePr w:wrap="auto" w:hAnchor="text" w:y="6049"/>
    </w:pPr>
    <w:rPr>
      <w:color w:val="000000"/>
      <w:sz w:val="40"/>
    </w:rPr>
  </w:style>
  <w:style w:type="paragraph" w:customStyle="1" w:styleId="TOCTitle">
    <w:name w:val="TOCTitle"/>
    <w:basedOn w:val="Heading1"/>
    <w:rsid w:val="00BF1164"/>
    <w:pPr>
      <w:spacing w:after="240"/>
      <w:jc w:val="center"/>
      <w:outlineLvl w:val="9"/>
    </w:pPr>
    <w:rPr>
      <w:caps/>
    </w:rPr>
  </w:style>
  <w:style w:type="paragraph" w:customStyle="1" w:styleId="Version">
    <w:name w:val="Version"/>
    <w:rsid w:val="00BF11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1164"/>
    <w:pPr>
      <w:numPr>
        <w:numId w:val="12"/>
      </w:numPr>
      <w:tabs>
        <w:tab w:val="clear" w:pos="680"/>
      </w:tabs>
    </w:pPr>
  </w:style>
  <w:style w:type="paragraph" w:styleId="Index1">
    <w:name w:val="index 1"/>
    <w:basedOn w:val="Normal"/>
    <w:next w:val="Normal"/>
    <w:semiHidden/>
    <w:rsid w:val="00BF1164"/>
    <w:pPr>
      <w:keepNext w:val="0"/>
      <w:tabs>
        <w:tab w:val="right" w:pos="4176"/>
      </w:tabs>
      <w:ind w:left="198" w:hanging="198"/>
    </w:pPr>
    <w:rPr>
      <w:rFonts w:ascii="Garamond" w:hAnsi="Garamond"/>
    </w:rPr>
  </w:style>
  <w:style w:type="paragraph" w:styleId="IndexHeading">
    <w:name w:val="index heading"/>
    <w:basedOn w:val="Normal"/>
    <w:next w:val="Index1"/>
    <w:semiHidden/>
    <w:rsid w:val="00BF1164"/>
    <w:pPr>
      <w:spacing w:before="120" w:after="120"/>
    </w:pPr>
    <w:rPr>
      <w:rFonts w:ascii="Arial" w:hAnsi="Arial"/>
      <w:b/>
      <w:color w:val="918585"/>
      <w:sz w:val="24"/>
    </w:rPr>
  </w:style>
  <w:style w:type="paragraph" w:styleId="Header">
    <w:name w:val="header"/>
    <w:basedOn w:val="Normal"/>
    <w:link w:val="HeaderChar"/>
    <w:rsid w:val="00BF11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164"/>
    <w:rPr>
      <w:rFonts w:ascii="Times New Roman" w:eastAsia="Times New Roman" w:hAnsi="Times New Roman" w:cs="Times New Roman"/>
      <w:sz w:val="16"/>
      <w:szCs w:val="20"/>
      <w:lang w:val="en-GB" w:eastAsia="en-US"/>
    </w:rPr>
  </w:style>
  <w:style w:type="paragraph" w:customStyle="1" w:styleId="Chapter">
    <w:name w:val="Chapter"/>
    <w:basedOn w:val="Normal"/>
    <w:rsid w:val="00BF1164"/>
    <w:pPr>
      <w:spacing w:before="240"/>
    </w:pPr>
    <w:rPr>
      <w:rFonts w:ascii="Times New Roman" w:hAnsi="Times New Roman"/>
      <w:smallCaps/>
      <w:spacing w:val="80"/>
      <w:sz w:val="28"/>
    </w:rPr>
  </w:style>
  <w:style w:type="paragraph" w:customStyle="1" w:styleId="InChapter">
    <w:name w:val="InChapter"/>
    <w:basedOn w:val="Heading3"/>
    <w:rsid w:val="00BF1164"/>
    <w:pPr>
      <w:spacing w:after="240"/>
      <w:outlineLvl w:val="9"/>
    </w:pPr>
    <w:rPr>
      <w:noProof/>
    </w:rPr>
  </w:style>
  <w:style w:type="paragraph" w:styleId="Index2">
    <w:name w:val="index 2"/>
    <w:basedOn w:val="Normal"/>
    <w:next w:val="Normal"/>
    <w:semiHidden/>
    <w:rsid w:val="00BF1164"/>
    <w:pPr>
      <w:tabs>
        <w:tab w:val="right" w:pos="4176"/>
      </w:tabs>
      <w:ind w:left="568" w:hanging="284"/>
    </w:pPr>
    <w:rPr>
      <w:rFonts w:ascii="Garamond" w:hAnsi="Garamond"/>
    </w:rPr>
  </w:style>
  <w:style w:type="paragraph" w:customStyle="1" w:styleId="Byline">
    <w:name w:val="Byline"/>
    <w:rsid w:val="00BF11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164"/>
    <w:pPr>
      <w:tabs>
        <w:tab w:val="clear" w:pos="3600"/>
        <w:tab w:val="clear" w:pos="3958"/>
      </w:tabs>
      <w:jc w:val="right"/>
    </w:pPr>
  </w:style>
  <w:style w:type="character" w:styleId="Emphasis">
    <w:name w:val="Emphasis"/>
    <w:basedOn w:val="DefaultParagraphFont"/>
    <w:qFormat/>
    <w:rsid w:val="00BF1164"/>
    <w:rPr>
      <w:i/>
    </w:rPr>
  </w:style>
  <w:style w:type="paragraph" w:styleId="Caption">
    <w:name w:val="caption"/>
    <w:basedOn w:val="BodyText"/>
    <w:next w:val="Normal"/>
    <w:qFormat/>
    <w:rsid w:val="00BF1164"/>
    <w:pPr>
      <w:framePr w:w="2268" w:hSpace="181" w:vSpace="181" w:wrap="around" w:vAnchor="text" w:hAnchor="page" w:x="1135" w:y="285" w:anchorLock="1"/>
    </w:pPr>
    <w:rPr>
      <w:i/>
    </w:rPr>
  </w:style>
  <w:style w:type="paragraph" w:customStyle="1" w:styleId="MiniTOCTitle">
    <w:name w:val="MiniTOCTitle"/>
    <w:basedOn w:val="Heading4"/>
    <w:rsid w:val="00BF1164"/>
    <w:pPr>
      <w:spacing w:before="240"/>
      <w:outlineLvl w:val="9"/>
    </w:pPr>
    <w:rPr>
      <w:noProof/>
      <w:sz w:val="24"/>
    </w:rPr>
  </w:style>
  <w:style w:type="paragraph" w:customStyle="1" w:styleId="MiniTOCItem">
    <w:name w:val="MiniTOCItem"/>
    <w:basedOn w:val="ListBullet"/>
    <w:rsid w:val="00BF1164"/>
    <w:pPr>
      <w:numPr>
        <w:numId w:val="0"/>
      </w:numPr>
      <w:tabs>
        <w:tab w:val="right" w:leader="dot" w:pos="6521"/>
      </w:tabs>
      <w:spacing w:before="0" w:after="0"/>
    </w:pPr>
  </w:style>
  <w:style w:type="paragraph" w:customStyle="1" w:styleId="TOFTitle">
    <w:name w:val="TOFTitle"/>
    <w:basedOn w:val="TOCTitle"/>
    <w:rsid w:val="00BF1164"/>
  </w:style>
  <w:style w:type="paragraph" w:styleId="TableofFigures">
    <w:name w:val="table of figures"/>
    <w:basedOn w:val="Normal"/>
    <w:next w:val="Normal"/>
    <w:semiHidden/>
    <w:rsid w:val="00BF1164"/>
    <w:pPr>
      <w:tabs>
        <w:tab w:val="right" w:leader="dot" w:pos="9072"/>
      </w:tabs>
      <w:ind w:left="970" w:hanging="403"/>
    </w:pPr>
    <w:rPr>
      <w:rFonts w:ascii="Times New Roman" w:hAnsi="Times New Roman"/>
      <w:b/>
    </w:rPr>
  </w:style>
  <w:style w:type="paragraph" w:styleId="ListNumber">
    <w:name w:val="List Number"/>
    <w:basedOn w:val="List"/>
    <w:rsid w:val="00BF1164"/>
    <w:pPr>
      <w:numPr>
        <w:numId w:val="14"/>
      </w:numPr>
      <w:tabs>
        <w:tab w:val="clear" w:pos="340"/>
      </w:tabs>
    </w:pPr>
  </w:style>
  <w:style w:type="character" w:customStyle="1" w:styleId="WingdingSymbols">
    <w:name w:val="Wingding Symbols"/>
    <w:rsid w:val="00BF1164"/>
    <w:rPr>
      <w:rFonts w:ascii="Wingdings" w:hAnsi="Wingdings"/>
    </w:rPr>
  </w:style>
  <w:style w:type="paragraph" w:customStyle="1" w:styleId="TableHeading">
    <w:name w:val="Table Heading"/>
    <w:basedOn w:val="HeadingBase"/>
    <w:rsid w:val="00BF1164"/>
    <w:pPr>
      <w:keepLines/>
      <w:pBdr>
        <w:bottom w:val="single" w:sz="6" w:space="1" w:color="918585"/>
      </w:pBdr>
      <w:spacing w:before="240"/>
    </w:pPr>
  </w:style>
  <w:style w:type="character" w:customStyle="1" w:styleId="HotSpot">
    <w:name w:val="HotSpot"/>
    <w:rsid w:val="00BF1164"/>
    <w:rPr>
      <w:color w:val="0033CC"/>
      <w:u w:val="none"/>
    </w:rPr>
  </w:style>
  <w:style w:type="paragraph" w:customStyle="1" w:styleId="BodyTextRight">
    <w:name w:val="Body Text Right"/>
    <w:basedOn w:val="BodyText"/>
    <w:rsid w:val="00BF1164"/>
    <w:pPr>
      <w:spacing w:before="0" w:after="0"/>
      <w:jc w:val="right"/>
    </w:pPr>
  </w:style>
  <w:style w:type="paragraph" w:styleId="Index3">
    <w:name w:val="index 3"/>
    <w:basedOn w:val="ListNumber2"/>
    <w:next w:val="Normal"/>
    <w:semiHidden/>
    <w:rsid w:val="00BF1164"/>
    <w:pPr>
      <w:numPr>
        <w:numId w:val="0"/>
      </w:numPr>
      <w:tabs>
        <w:tab w:val="right" w:leader="dot" w:pos="4176"/>
      </w:tabs>
    </w:pPr>
  </w:style>
  <w:style w:type="paragraph" w:styleId="ListNumber2">
    <w:name w:val="List Number 2"/>
    <w:basedOn w:val="List2"/>
    <w:rsid w:val="00BF1164"/>
    <w:pPr>
      <w:numPr>
        <w:numId w:val="9"/>
      </w:numPr>
      <w:tabs>
        <w:tab w:val="clear" w:pos="1060"/>
      </w:tabs>
    </w:pPr>
  </w:style>
  <w:style w:type="paragraph" w:customStyle="1" w:styleId="MarginNote">
    <w:name w:val="Margin Note"/>
    <w:basedOn w:val="BodyText"/>
    <w:rsid w:val="00BF11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1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1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1164"/>
    <w:rPr>
      <w:sz w:val="32"/>
    </w:rPr>
  </w:style>
  <w:style w:type="paragraph" w:customStyle="1" w:styleId="HeadingProcedure">
    <w:name w:val="Heading Procedure"/>
    <w:basedOn w:val="HeadingBase"/>
    <w:next w:val="Normal"/>
    <w:rsid w:val="00BF1164"/>
    <w:pPr>
      <w:tabs>
        <w:tab w:val="left" w:pos="0"/>
      </w:tabs>
      <w:spacing w:before="120" w:after="60"/>
    </w:pPr>
    <w:rPr>
      <w:i/>
      <w:color w:val="918585"/>
      <w:sz w:val="22"/>
    </w:rPr>
  </w:style>
  <w:style w:type="paragraph" w:customStyle="1" w:styleId="TableBodyText">
    <w:name w:val="Table Body Text"/>
    <w:basedOn w:val="BodyText"/>
    <w:rsid w:val="00BF1164"/>
    <w:pPr>
      <w:spacing w:before="60" w:after="60"/>
    </w:pPr>
  </w:style>
  <w:style w:type="paragraph" w:styleId="ListContinue">
    <w:name w:val="List Continue"/>
    <w:basedOn w:val="List"/>
    <w:rsid w:val="00BF1164"/>
    <w:pPr>
      <w:ind w:firstLine="0"/>
    </w:pPr>
  </w:style>
  <w:style w:type="paragraph" w:customStyle="1" w:styleId="ListNote">
    <w:name w:val="List Note"/>
    <w:basedOn w:val="List"/>
    <w:rsid w:val="00BF1164"/>
    <w:pPr>
      <w:pBdr>
        <w:top w:val="single" w:sz="6" w:space="2" w:color="918585"/>
        <w:bottom w:val="single" w:sz="6" w:space="2" w:color="918585"/>
      </w:pBdr>
      <w:tabs>
        <w:tab w:val="left" w:pos="1021"/>
      </w:tabs>
      <w:ind w:firstLine="0"/>
    </w:pPr>
  </w:style>
  <w:style w:type="paragraph" w:customStyle="1" w:styleId="Warning">
    <w:name w:val="Warning"/>
    <w:basedOn w:val="BodyText"/>
    <w:rsid w:val="00BF1164"/>
    <w:pPr>
      <w:shd w:val="clear" w:color="auto" w:fill="D9D9D9"/>
      <w:tabs>
        <w:tab w:val="left" w:pos="992"/>
      </w:tabs>
      <w:ind w:left="119" w:right="119"/>
    </w:pPr>
    <w:rPr>
      <w:sz w:val="20"/>
    </w:rPr>
  </w:style>
  <w:style w:type="paragraph" w:customStyle="1" w:styleId="MarginIcons">
    <w:name w:val="Margin Icons"/>
    <w:basedOn w:val="BodyText"/>
    <w:rsid w:val="00BF11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164"/>
    <w:rPr>
      <w:rFonts w:ascii="Courier New" w:hAnsi="Courier New"/>
    </w:rPr>
  </w:style>
  <w:style w:type="paragraph" w:customStyle="1" w:styleId="NoteBullet">
    <w:name w:val="Note Bullet"/>
    <w:basedOn w:val="Note"/>
    <w:rsid w:val="00BF1164"/>
    <w:pPr>
      <w:tabs>
        <w:tab w:val="clear" w:pos="680"/>
      </w:tabs>
      <w:spacing w:before="60" w:after="60"/>
    </w:pPr>
  </w:style>
  <w:style w:type="paragraph" w:customStyle="1" w:styleId="SubHeading2">
    <w:name w:val="SubHeading2"/>
    <w:basedOn w:val="HeadingBase"/>
    <w:rsid w:val="00BF1164"/>
    <w:pPr>
      <w:spacing w:before="240" w:after="60"/>
    </w:pPr>
    <w:rPr>
      <w:sz w:val="20"/>
    </w:rPr>
  </w:style>
  <w:style w:type="paragraph" w:customStyle="1" w:styleId="SubHeading1">
    <w:name w:val="SubHeading1"/>
    <w:basedOn w:val="HeadingBase"/>
    <w:rsid w:val="00BF1164"/>
    <w:pPr>
      <w:spacing w:before="240" w:after="60"/>
    </w:pPr>
    <w:rPr>
      <w:color w:val="918585"/>
      <w:sz w:val="22"/>
    </w:rPr>
  </w:style>
  <w:style w:type="paragraph" w:customStyle="1" w:styleId="SideHeading">
    <w:name w:val="Side Heading"/>
    <w:basedOn w:val="HeadingBase"/>
    <w:rsid w:val="00BF11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164"/>
    <w:pPr>
      <w:numPr>
        <w:numId w:val="10"/>
      </w:numPr>
    </w:pPr>
  </w:style>
  <w:style w:type="paragraph" w:styleId="PlainText">
    <w:name w:val="Plain Text"/>
    <w:basedOn w:val="Normal"/>
    <w:link w:val="PlainTextChar"/>
    <w:rsid w:val="00BF1164"/>
    <w:rPr>
      <w:sz w:val="20"/>
    </w:rPr>
  </w:style>
  <w:style w:type="character" w:customStyle="1" w:styleId="PlainTextChar">
    <w:name w:val="Plain Text Char"/>
    <w:basedOn w:val="DefaultParagraphFont"/>
    <w:link w:val="PlainText"/>
    <w:rsid w:val="00BF1164"/>
    <w:rPr>
      <w:rFonts w:ascii="Courier New" w:eastAsia="Times New Roman" w:hAnsi="Courier New" w:cs="Times New Roman"/>
      <w:sz w:val="20"/>
      <w:szCs w:val="20"/>
      <w:lang w:eastAsia="en-US"/>
    </w:rPr>
  </w:style>
  <w:style w:type="character" w:customStyle="1" w:styleId="MenuOption">
    <w:name w:val="Menu Option"/>
    <w:basedOn w:val="DefaultParagraphFont"/>
    <w:rsid w:val="00BF1164"/>
    <w:rPr>
      <w:b/>
      <w:smallCaps/>
    </w:rPr>
  </w:style>
  <w:style w:type="paragraph" w:customStyle="1" w:styleId="TableListNumber">
    <w:name w:val="Table List Number"/>
    <w:basedOn w:val="ListNumber"/>
    <w:rsid w:val="00BF1164"/>
    <w:pPr>
      <w:numPr>
        <w:numId w:val="0"/>
      </w:numPr>
    </w:pPr>
  </w:style>
  <w:style w:type="paragraph" w:styleId="TOC4">
    <w:name w:val="toc 4"/>
    <w:basedOn w:val="TOCBase"/>
    <w:next w:val="Normal"/>
    <w:semiHidden/>
    <w:rsid w:val="00BF1164"/>
    <w:pPr>
      <w:tabs>
        <w:tab w:val="right" w:leader="dot" w:pos="9071"/>
      </w:tabs>
      <w:ind w:left="1701"/>
    </w:pPr>
  </w:style>
  <w:style w:type="paragraph" w:customStyle="1" w:styleId="ListAlpha">
    <w:name w:val="List Alpha"/>
    <w:basedOn w:val="List"/>
    <w:rsid w:val="00BF1164"/>
    <w:pPr>
      <w:numPr>
        <w:numId w:val="8"/>
      </w:numPr>
    </w:pPr>
  </w:style>
  <w:style w:type="paragraph" w:customStyle="1" w:styleId="ListAlpha2">
    <w:name w:val="List Alpha 2"/>
    <w:basedOn w:val="List2"/>
    <w:rsid w:val="00BF1164"/>
    <w:pPr>
      <w:numPr>
        <w:numId w:val="7"/>
      </w:numPr>
    </w:pPr>
  </w:style>
  <w:style w:type="paragraph" w:styleId="List2">
    <w:name w:val="List 2"/>
    <w:basedOn w:val="BodyText"/>
    <w:rsid w:val="00BF1164"/>
    <w:pPr>
      <w:tabs>
        <w:tab w:val="left" w:pos="680"/>
      </w:tabs>
      <w:spacing w:before="60" w:after="60"/>
      <w:ind w:left="680" w:hanging="340"/>
    </w:pPr>
  </w:style>
  <w:style w:type="paragraph" w:styleId="List3">
    <w:name w:val="List 3"/>
    <w:basedOn w:val="BodyText"/>
    <w:rsid w:val="00BF1164"/>
    <w:pPr>
      <w:tabs>
        <w:tab w:val="left" w:pos="1021"/>
      </w:tabs>
      <w:spacing w:before="60" w:after="60"/>
      <w:ind w:left="1020" w:hanging="340"/>
    </w:pPr>
  </w:style>
  <w:style w:type="paragraph" w:styleId="List4">
    <w:name w:val="List 4"/>
    <w:basedOn w:val="BodyText"/>
    <w:rsid w:val="00BF1164"/>
    <w:pPr>
      <w:tabs>
        <w:tab w:val="left" w:pos="1361"/>
      </w:tabs>
      <w:spacing w:before="60" w:after="60"/>
      <w:ind w:left="1361" w:hanging="340"/>
    </w:pPr>
  </w:style>
  <w:style w:type="paragraph" w:styleId="List5">
    <w:name w:val="List 5"/>
    <w:basedOn w:val="BodyText"/>
    <w:rsid w:val="00BF1164"/>
    <w:pPr>
      <w:tabs>
        <w:tab w:val="left" w:pos="1701"/>
      </w:tabs>
      <w:spacing w:before="60" w:after="60"/>
      <w:ind w:left="1701" w:hanging="340"/>
    </w:pPr>
  </w:style>
  <w:style w:type="paragraph" w:styleId="ListBullet3">
    <w:name w:val="List Bullet 3"/>
    <w:basedOn w:val="List3"/>
    <w:rsid w:val="00BF1164"/>
    <w:pPr>
      <w:numPr>
        <w:numId w:val="13"/>
      </w:numPr>
      <w:tabs>
        <w:tab w:val="clear" w:pos="1021"/>
      </w:tabs>
      <w:ind w:left="1037" w:hanging="357"/>
    </w:pPr>
  </w:style>
  <w:style w:type="paragraph" w:styleId="ListBullet4">
    <w:name w:val="List Bullet 4"/>
    <w:basedOn w:val="List4"/>
    <w:rsid w:val="00BF1164"/>
    <w:pPr>
      <w:numPr>
        <w:numId w:val="2"/>
      </w:numPr>
      <w:tabs>
        <w:tab w:val="clear" w:pos="1361"/>
      </w:tabs>
    </w:pPr>
  </w:style>
  <w:style w:type="paragraph" w:styleId="ListBullet5">
    <w:name w:val="List Bullet 5"/>
    <w:basedOn w:val="List5"/>
    <w:rsid w:val="00BF1164"/>
    <w:pPr>
      <w:numPr>
        <w:numId w:val="3"/>
      </w:numPr>
    </w:pPr>
  </w:style>
  <w:style w:type="paragraph" w:styleId="ListContinue2">
    <w:name w:val="List Continue 2"/>
    <w:basedOn w:val="List2"/>
    <w:rsid w:val="00BF1164"/>
    <w:pPr>
      <w:ind w:firstLine="0"/>
    </w:pPr>
  </w:style>
  <w:style w:type="paragraph" w:styleId="ListContinue3">
    <w:name w:val="List Continue 3"/>
    <w:basedOn w:val="List3"/>
    <w:rsid w:val="00BF1164"/>
    <w:pPr>
      <w:ind w:left="1021" w:firstLine="0"/>
    </w:pPr>
  </w:style>
  <w:style w:type="paragraph" w:styleId="ListContinue4">
    <w:name w:val="List Continue 4"/>
    <w:basedOn w:val="List4"/>
    <w:rsid w:val="00BF1164"/>
    <w:pPr>
      <w:ind w:firstLine="0"/>
    </w:pPr>
  </w:style>
  <w:style w:type="paragraph" w:styleId="ListContinue5">
    <w:name w:val="List Continue 5"/>
    <w:basedOn w:val="List5"/>
    <w:rsid w:val="00BF1164"/>
    <w:pPr>
      <w:ind w:firstLine="0"/>
    </w:pPr>
  </w:style>
  <w:style w:type="paragraph" w:styleId="ListNumber3">
    <w:name w:val="List Number 3"/>
    <w:basedOn w:val="List3"/>
    <w:rsid w:val="00BF1164"/>
    <w:pPr>
      <w:numPr>
        <w:numId w:val="4"/>
      </w:numPr>
    </w:pPr>
  </w:style>
  <w:style w:type="paragraph" w:styleId="ListNumber4">
    <w:name w:val="List Number 4"/>
    <w:basedOn w:val="List4"/>
    <w:rsid w:val="00BF1164"/>
    <w:pPr>
      <w:numPr>
        <w:numId w:val="5"/>
      </w:numPr>
    </w:pPr>
  </w:style>
  <w:style w:type="paragraph" w:styleId="ListNumber5">
    <w:name w:val="List Number 5"/>
    <w:basedOn w:val="List5"/>
    <w:rsid w:val="00BF1164"/>
    <w:pPr>
      <w:numPr>
        <w:numId w:val="6"/>
      </w:numPr>
    </w:pPr>
  </w:style>
  <w:style w:type="paragraph" w:styleId="BlockText">
    <w:name w:val="Block Text"/>
    <w:basedOn w:val="Normal"/>
    <w:rsid w:val="00BF1164"/>
    <w:pPr>
      <w:spacing w:after="120"/>
      <w:ind w:left="1440" w:right="1440"/>
    </w:pPr>
  </w:style>
  <w:style w:type="character" w:customStyle="1" w:styleId="Subscript">
    <w:name w:val="Subscript"/>
    <w:basedOn w:val="DefaultParagraphFont"/>
    <w:rsid w:val="00BF1164"/>
    <w:rPr>
      <w:sz w:val="16"/>
      <w:vertAlign w:val="subscript"/>
    </w:rPr>
  </w:style>
  <w:style w:type="character" w:customStyle="1" w:styleId="Superscript">
    <w:name w:val="Superscript"/>
    <w:basedOn w:val="DefaultParagraphFont"/>
    <w:rsid w:val="00BF1164"/>
    <w:rPr>
      <w:sz w:val="16"/>
      <w:vertAlign w:val="superscript"/>
    </w:rPr>
  </w:style>
  <w:style w:type="character" w:customStyle="1" w:styleId="Symbols">
    <w:name w:val="Symbols"/>
    <w:basedOn w:val="DefaultParagraphFont"/>
    <w:rsid w:val="00BF1164"/>
    <w:rPr>
      <w:rFonts w:ascii="Symbol" w:hAnsi="Symbol"/>
    </w:rPr>
  </w:style>
  <w:style w:type="character" w:customStyle="1" w:styleId="MenuOptions">
    <w:name w:val="Menu Options"/>
    <w:basedOn w:val="DefaultParagraphFont"/>
    <w:rsid w:val="00BF1164"/>
    <w:rPr>
      <w:rFonts w:ascii="Arial Narrow" w:hAnsi="Arial Narrow"/>
      <w:smallCaps/>
    </w:rPr>
  </w:style>
  <w:style w:type="character" w:customStyle="1" w:styleId="Buttons">
    <w:name w:val="Buttons"/>
    <w:basedOn w:val="DefaultParagraphFont"/>
    <w:rsid w:val="00BF1164"/>
    <w:rPr>
      <w:b/>
    </w:rPr>
  </w:style>
  <w:style w:type="character" w:customStyle="1" w:styleId="Underlined">
    <w:name w:val="Underlined"/>
    <w:basedOn w:val="DefaultParagraphFont"/>
    <w:rsid w:val="00BF1164"/>
    <w:rPr>
      <w:u w:val="single"/>
    </w:rPr>
  </w:style>
  <w:style w:type="paragraph" w:customStyle="1" w:styleId="TableBodyTextRight">
    <w:name w:val="Table Body Text Right"/>
    <w:basedOn w:val="TableBodyText"/>
    <w:rsid w:val="00BF1164"/>
    <w:pPr>
      <w:widowControl w:val="0"/>
      <w:autoSpaceDE w:val="0"/>
      <w:autoSpaceDN w:val="0"/>
      <w:adjustRightInd w:val="0"/>
      <w:jc w:val="right"/>
    </w:pPr>
    <w:rPr>
      <w:rFonts w:cs="Arial"/>
      <w:szCs w:val="18"/>
    </w:rPr>
  </w:style>
  <w:style w:type="paragraph" w:customStyle="1" w:styleId="CopyrightText">
    <w:name w:val="Copyright Text"/>
    <w:basedOn w:val="BodyText"/>
    <w:rsid w:val="00BF1164"/>
    <w:rPr>
      <w:sz w:val="18"/>
    </w:rPr>
  </w:style>
  <w:style w:type="paragraph" w:customStyle="1" w:styleId="BodySmallRight">
    <w:name w:val="Body Small Right"/>
    <w:basedOn w:val="BodyTextRight"/>
    <w:rsid w:val="00BF1164"/>
    <w:rPr>
      <w:sz w:val="18"/>
      <w:szCs w:val="18"/>
    </w:rPr>
  </w:style>
  <w:style w:type="paragraph" w:customStyle="1" w:styleId="MarginEdition">
    <w:name w:val="Margin Edition"/>
    <w:basedOn w:val="MarginNote"/>
    <w:rsid w:val="00BF1164"/>
    <w:pPr>
      <w:spacing w:before="0" w:after="0"/>
    </w:pPr>
    <w:rPr>
      <w:rFonts w:ascii="Times New Roman" w:hAnsi="Times New Roman"/>
      <w:color w:val="999999"/>
    </w:rPr>
  </w:style>
  <w:style w:type="paragraph" w:customStyle="1" w:styleId="Spacer">
    <w:name w:val="Spacer"/>
    <w:basedOn w:val="Normal"/>
    <w:rsid w:val="00BF1164"/>
    <w:rPr>
      <w:sz w:val="2"/>
      <w:szCs w:val="2"/>
    </w:rPr>
  </w:style>
  <w:style w:type="character" w:customStyle="1" w:styleId="Small">
    <w:name w:val="Small"/>
    <w:basedOn w:val="DefaultParagraphFont"/>
    <w:rsid w:val="00BF1164"/>
    <w:rPr>
      <w:sz w:val="16"/>
    </w:rPr>
  </w:style>
  <w:style w:type="paragraph" w:customStyle="1" w:styleId="WideTable">
    <w:name w:val="Wide Table"/>
    <w:basedOn w:val="Normal"/>
    <w:rsid w:val="00BF1164"/>
    <w:pPr>
      <w:ind w:left="-1418"/>
    </w:pPr>
    <w:rPr>
      <w:sz w:val="2"/>
      <w:szCs w:val="2"/>
    </w:rPr>
  </w:style>
  <w:style w:type="character" w:styleId="PageNumber">
    <w:name w:val="page number"/>
    <w:basedOn w:val="DefaultParagraphFont"/>
    <w:rsid w:val="00BF1164"/>
  </w:style>
  <w:style w:type="paragraph" w:styleId="Quote">
    <w:name w:val="Quote"/>
    <w:basedOn w:val="Heading1"/>
    <w:link w:val="QuoteChar"/>
    <w:qFormat/>
    <w:rsid w:val="00BF1164"/>
    <w:rPr>
      <w:b w:val="0"/>
      <w:sz w:val="72"/>
      <w:szCs w:val="72"/>
      <w:lang w:val="en-NZ"/>
    </w:rPr>
  </w:style>
  <w:style w:type="character" w:customStyle="1" w:styleId="QuoteChar">
    <w:name w:val="Quote Char"/>
    <w:basedOn w:val="DefaultParagraphFont"/>
    <w:link w:val="Quote"/>
    <w:rsid w:val="00BF11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164"/>
    <w:pPr>
      <w:pageBreakBefore/>
    </w:pPr>
  </w:style>
  <w:style w:type="paragraph" w:customStyle="1" w:styleId="Border">
    <w:name w:val="Border"/>
    <w:basedOn w:val="Normal"/>
    <w:qFormat/>
    <w:rsid w:val="00BF11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164"/>
    <w:rPr>
      <w:b/>
      <w:bCs/>
      <w:i/>
      <w:iCs/>
      <w:color w:val="auto"/>
    </w:rPr>
  </w:style>
  <w:style w:type="paragraph" w:styleId="IntenseQuote">
    <w:name w:val="Intense Quote"/>
    <w:basedOn w:val="Normal"/>
    <w:next w:val="Normal"/>
    <w:link w:val="IntenseQuoteChar"/>
    <w:uiPriority w:val="30"/>
    <w:qFormat/>
    <w:rsid w:val="00BF11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1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1164"/>
    <w:rPr>
      <w:smallCaps/>
      <w:color w:val="auto"/>
      <w:u w:val="single"/>
    </w:rPr>
  </w:style>
  <w:style w:type="character" w:styleId="IntenseReference">
    <w:name w:val="Intense Reference"/>
    <w:basedOn w:val="DefaultParagraphFont"/>
    <w:uiPriority w:val="32"/>
    <w:qFormat/>
    <w:rsid w:val="00BF1164"/>
    <w:rPr>
      <w:b/>
      <w:bCs/>
      <w:smallCaps/>
      <w:color w:val="auto"/>
      <w:spacing w:val="5"/>
      <w:u w:val="single"/>
    </w:rPr>
  </w:style>
  <w:style w:type="paragraph" w:customStyle="1" w:styleId="2ColumnHeading">
    <w:name w:val="2Column Heading"/>
    <w:basedOn w:val="BodyText"/>
    <w:qFormat/>
    <w:rsid w:val="00BF1164"/>
    <w:pPr>
      <w:spacing w:after="60"/>
      <w:ind w:left="-2268"/>
    </w:pPr>
    <w:rPr>
      <w:b/>
    </w:rPr>
  </w:style>
  <w:style w:type="paragraph" w:customStyle="1" w:styleId="Heading1TOC">
    <w:name w:val="Heading1 TOC"/>
    <w:basedOn w:val="Normal"/>
    <w:qFormat/>
    <w:rsid w:val="00BF1164"/>
    <w:pPr>
      <w:spacing w:before="240" w:after="120"/>
    </w:pPr>
    <w:rPr>
      <w:rFonts w:ascii="Times New Roman" w:hAnsi="Times New Roman"/>
      <w:b/>
      <w:sz w:val="32"/>
    </w:rPr>
  </w:style>
  <w:style w:type="paragraph" w:customStyle="1" w:styleId="Heading2TOC">
    <w:name w:val="Heading2 TOC"/>
    <w:basedOn w:val="Normal"/>
    <w:qFormat/>
    <w:rsid w:val="00BF1164"/>
    <w:pPr>
      <w:spacing w:before="240" w:after="60"/>
    </w:pPr>
    <w:rPr>
      <w:rFonts w:ascii="Times New Roman" w:hAnsi="Times New Roman"/>
      <w:b/>
      <w:sz w:val="28"/>
    </w:rPr>
  </w:style>
  <w:style w:type="character" w:customStyle="1" w:styleId="Underline">
    <w:name w:val="Underline"/>
    <w:basedOn w:val="DefaultParagraphFont"/>
    <w:qFormat/>
    <w:rsid w:val="00BF1164"/>
    <w:rPr>
      <w:u w:val="single"/>
    </w:rPr>
  </w:style>
  <w:style w:type="character" w:customStyle="1" w:styleId="BoldandItalics">
    <w:name w:val="Bold and Italics"/>
    <w:qFormat/>
    <w:rsid w:val="00BF1164"/>
    <w:rPr>
      <w:b/>
      <w:i/>
      <w:u w:val="none"/>
    </w:rPr>
  </w:style>
  <w:style w:type="paragraph" w:styleId="BalloonText">
    <w:name w:val="Balloon Text"/>
    <w:basedOn w:val="Normal"/>
    <w:link w:val="BalloonTextChar"/>
    <w:rsid w:val="00BF1164"/>
    <w:rPr>
      <w:rFonts w:ascii="Tahoma" w:hAnsi="Tahoma" w:cs="Tahoma"/>
      <w:sz w:val="16"/>
      <w:szCs w:val="16"/>
    </w:rPr>
  </w:style>
  <w:style w:type="character" w:customStyle="1" w:styleId="BalloonTextChar">
    <w:name w:val="Balloon Text Char"/>
    <w:basedOn w:val="DefaultParagraphFont"/>
    <w:link w:val="BalloonText"/>
    <w:rsid w:val="00BF11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11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11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1164"/>
    <w:rPr>
      <w:b/>
      <w:color w:val="660033"/>
      <w:spacing w:val="0"/>
    </w:rPr>
  </w:style>
  <w:style w:type="paragraph" w:customStyle="1" w:styleId="Nameditemlist">
    <w:name w:val="Named item list"/>
    <w:basedOn w:val="BodyText"/>
    <w:qFormat/>
    <w:rsid w:val="00BF1164"/>
    <w:pPr>
      <w:tabs>
        <w:tab w:val="left" w:pos="2835"/>
      </w:tabs>
      <w:ind w:left="2835" w:hanging="2835"/>
    </w:pPr>
  </w:style>
  <w:style w:type="paragraph" w:customStyle="1" w:styleId="BodyTextnopadding">
    <w:name w:val="Body Text no padding"/>
    <w:basedOn w:val="BodyText"/>
    <w:qFormat/>
    <w:rsid w:val="00BF1164"/>
    <w:pPr>
      <w:spacing w:before="0" w:after="0"/>
    </w:pPr>
  </w:style>
  <w:style w:type="paragraph" w:customStyle="1" w:styleId="BodyTextBold">
    <w:name w:val="Body Text Bold"/>
    <w:basedOn w:val="BodyText"/>
    <w:qFormat/>
    <w:rsid w:val="00BF1164"/>
    <w:rPr>
      <w:b/>
    </w:rPr>
  </w:style>
  <w:style w:type="character" w:styleId="Hyperlink">
    <w:name w:val="Hyperlink"/>
    <w:basedOn w:val="DefaultParagraphFont"/>
    <w:uiPriority w:val="99"/>
    <w:unhideWhenUsed/>
    <w:rsid w:val="00C53C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805</Words>
  <Characters>5521</Characters>
  <Application>Microsoft Office Word</Application>
  <DocSecurity>0</DocSecurity>
  <Lines>306</Lines>
  <Paragraphs>186</Paragraphs>
  <ScaleCrop>false</ScaleCrop>
  <Company>Author-it Software Corporation Ltd.</Company>
  <LinksUpToDate>false</LinksUpToDate>
  <CharactersWithSpaces>6140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MEM10008 Undertake commissioning procedures for plant and/or equipment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2023-02-03T06:53:00Z</dcterms:created>
  <dcterms:modified xsi:type="dcterms:W3CDTF">2023-02-03T06:53:00Z</dcterms:modified>
</cp:coreProperties>
</file>