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68F" w:rsidP="00A9268F">
      <w:pPr>
        <w:pStyle w:val="Title"/>
      </w:pPr>
      <w:r>
        <w:fldChar w:fldCharType="begin"/>
      </w:r>
      <w:r>
        <w:instrText xml:space="preserve"> TITLE   \* MERGEFORMAT </w:instrText>
      </w:r>
      <w:r>
        <w:fldChar w:fldCharType="separate"/>
      </w:r>
      <w:r>
        <w:t>MEM10007 Modify control systems</w:t>
      </w:r>
      <w:r>
        <w:fldChar w:fldCharType="end"/>
      </w:r>
    </w:p>
    <w:p w:rsidR="00A9268F" w:rsidP="00A9268F">
      <w:pPr>
        <w:pStyle w:val="Version"/>
        <w:sectPr w:rsidSect="00192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2A69" w:rsidP="00192A69">
      <w:pPr>
        <w:pStyle w:val="SuperHeading"/>
      </w:pPr>
      <w:r w:rsidRPr="00192A69">
        <w:t>MEM10007 Modify control systems</w:t>
      </w:r>
    </w:p>
    <w:p w:rsidR="00000000" w:rsidRPr="00192A69" w:rsidP="00192A69">
      <w:pPr>
        <w:pStyle w:val="Heading1"/>
      </w:pPr>
      <w:bookmarkStart w:id="1" w:name="O_1169810"/>
      <w:bookmarkEnd w:id="1"/>
      <w:r w:rsidRPr="00192A69">
        <w:t>Modification History</w:t>
      </w:r>
    </w:p>
    <w:p w:rsidR="00000000" w:rsidRPr="00192A69" w:rsidP="00A9268F">
      <w:pPr>
        <w:pStyle w:val="BodyText"/>
      </w:pPr>
      <w:r w:rsidRPr="00192A69">
        <w:t>Release 2. Quantum of hours of workplace practice removed. Supersedes and is equivalent to MEM10007 Modify control systems (Release 1).</w:t>
      </w:r>
    </w:p>
    <w:p w:rsidR="00000000" w:rsidRPr="00192A69" w:rsidP="00A9268F">
      <w:pPr>
        <w:pStyle w:val="BodyText"/>
      </w:pPr>
      <w:r w:rsidRPr="00192A69">
        <w:t>Release 1. Supersedes and is equivalent to MEM10007C Modify control systems.</w:t>
      </w:r>
    </w:p>
    <w:p w:rsidR="00000000" w:rsidRPr="00192A69" w:rsidP="00192A69">
      <w:pPr>
        <w:pStyle w:val="Heading1"/>
      </w:pPr>
      <w:bookmarkStart w:id="2" w:name="O_1169809"/>
      <w:bookmarkEnd w:id="2"/>
      <w:r w:rsidRPr="00192A69">
        <w:t>App</w:t>
      </w:r>
      <w:r w:rsidRPr="00192A69">
        <w:t>lication</w:t>
      </w:r>
    </w:p>
    <w:p w:rsidR="00000000" w:rsidRPr="00192A69" w:rsidP="00A9268F">
      <w:pPr>
        <w:pStyle w:val="BodyText"/>
      </w:pPr>
      <w:r w:rsidRPr="00192A69">
        <w:t>This unit of competency defines the skills and knowledge required to plan the commissioning procedure, assess the control system performance, adjust the control system and undertake commissioning modifications.</w:t>
      </w:r>
    </w:p>
    <w:p w:rsidR="00000000" w:rsidRPr="00192A69" w:rsidP="00A9268F">
      <w:pPr>
        <w:pStyle w:val="BodyText"/>
      </w:pPr>
      <w:r w:rsidRPr="00192A69">
        <w:t xml:space="preserve">Some jurisdictions may require the </w:t>
      </w:r>
      <w:r w:rsidRPr="00192A69">
        <w:t>holder of this unit using the refrigeration and air conditioning pathways to be licensed or certified and users should check with the relevant authorities.</w:t>
      </w:r>
    </w:p>
    <w:p w:rsidR="00000000" w:rsidRPr="00192A69" w:rsidP="00192A69">
      <w:pPr>
        <w:pStyle w:val="BodyText"/>
      </w:pPr>
      <w:r w:rsidRPr="00192A69">
        <w:rPr>
          <w:rStyle w:val="SpecialBold"/>
        </w:rPr>
        <w:t>Band</w:t>
      </w:r>
      <w:r w:rsidRPr="00192A69">
        <w:t>:</w:t>
      </w:r>
      <w:r w:rsidRPr="00192A69">
        <w:tab/>
      </w:r>
      <w:r w:rsidRPr="00192A69">
        <w:rPr>
          <w:rStyle w:val="SpecialBold"/>
        </w:rPr>
        <w:t>B</w:t>
      </w:r>
    </w:p>
    <w:p w:rsidR="00000000" w:rsidRPr="00192A69" w:rsidP="00192A69">
      <w:pPr>
        <w:pStyle w:val="BodyText"/>
      </w:pPr>
      <w:r w:rsidRPr="00192A69">
        <w:rPr>
          <w:rStyle w:val="SpecialBold"/>
        </w:rPr>
        <w:t>Unit Weight</w:t>
      </w:r>
      <w:r w:rsidRPr="00192A69">
        <w:t>:</w:t>
      </w:r>
      <w:r w:rsidRPr="00192A69">
        <w:tab/>
      </w:r>
      <w:r w:rsidRPr="00192A69">
        <w:rPr>
          <w:rStyle w:val="SpecialBold"/>
        </w:rPr>
        <w:t>6</w:t>
      </w:r>
    </w:p>
    <w:p w:rsidR="00000000" w:rsidRPr="00192A69" w:rsidP="00192A69">
      <w:pPr>
        <w:pStyle w:val="AllowPageBreak"/>
      </w:pPr>
    </w:p>
    <w:p w:rsidR="00000000" w:rsidRPr="00192A69" w:rsidP="00192A69">
      <w:pPr>
        <w:pStyle w:val="Heading1"/>
      </w:pPr>
      <w:bookmarkStart w:id="3" w:name="O_1169808"/>
      <w:bookmarkEnd w:id="3"/>
      <w:r w:rsidRPr="00192A69">
        <w:t>Pre-requisite Unit</w:t>
      </w:r>
    </w:p>
    <w:tbl>
      <w:tblPr>
        <w:tblW w:w="9288" w:type="dxa"/>
        <w:tblLayout w:type="fixed"/>
        <w:tblCellMar>
          <w:left w:w="62" w:type="dxa"/>
          <w:right w:w="62" w:type="dxa"/>
        </w:tblCellMar>
        <w:tblLook w:val="0000"/>
      </w:tblPr>
      <w:tblGrid>
        <w:gridCol w:w="1065"/>
        <w:gridCol w:w="2349"/>
        <w:gridCol w:w="5874"/>
      </w:tblGrid>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Path 1</w:t>
            </w: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MEM09002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Interpret technical dr</w:t>
            </w:r>
            <w:r w:rsidRPr="00192A69">
              <w:t>awing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MEM11011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Undertake manual handling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electrical/electronic measurement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MEM12003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precision mechanical measurement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engineering measurements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computations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graphical techniques and perform simple statistical computations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MEM13015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Work safely and effectively in manufacturing and engineering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MEM14006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Plan work activities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MEM16006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Organise and communicate information</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MEM16010</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Write reports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hand tools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power tools/hand held operations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tools for precision work</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precision fitting of engineering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MEM18018</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pneumatic system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MEM18019</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pneumatic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MEM18020</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hydraulic system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MEM18021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hydraulic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MEM18022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fluid power controls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MEM18023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Modify fluid power system operation</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Modify fluid power control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Dismantle, replace and assemble engineering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Path 2</w:t>
            </w: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MEM05001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manual soldering/desoldering - electrical/electronic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MEM09002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Interpret technical drawing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MEM11011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Undertake manual handling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MEM12004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precision electrical/electronic measurement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engineering measurements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computations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MEM13015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Work safely and effectively in manufacturing and engineering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MEM14006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Plan work activities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MEM16006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Organise and communicate information</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hand tools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power tools/hand held operations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Fault find, test and calibrate instrumentation systems and equipment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Dismantle, replace and assemble engineering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MEM18057</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Maintain/service analog/digital electronic equipment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MEM18060</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repair control instrumentation - single and multiple loop control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MEM18062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Install, maintain and calibrate instrumentation sensors, transmitters and final contr</w:t>
            </w:r>
            <w:r w:rsidRPr="00192A69">
              <w:t>ol elements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MEM18067</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Tune control loops - multi controller or multi element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Path 3</w:t>
            </w: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MEM05001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manual soldering/desoldering - electrical/electronic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MEM05002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high reliability soldering and desoldering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MEM09002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Interpret technical drawing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MEM11011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Undertake manual handling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MEM12004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precision electrical/electronic measurement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engineering measurements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computations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MEM13015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Work safely and effectively in manufacturing and engineering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MEM14006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Plan work activities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MEM16006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Organise and communicate information</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hand tools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power tools/hand held operations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Diagnose and repair analog equipment and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MEM18057</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Maintain/service analog/digital electronic equipment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MEM18058</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Modify electronic equipment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MEM18059</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Modify electronic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MEM18065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Diagnose and repair digital equipment and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Path 4</w:t>
            </w: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MEM09002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Interpret technical drawing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MEM11011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Undertake manual handling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electrical/electronic measurement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engineering measurements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computations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MEM13015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Work safely and effecti</w:t>
            </w:r>
            <w:r w:rsidRPr="00192A69">
              <w:t>vely in manufacturing and engineering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MEM14006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Plan work activities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MEM16006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Organise and communicate information</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hand tools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power tools/hand held operations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Dismantle, replace and assemble engineering component</w:t>
            </w:r>
            <w:r w:rsidRPr="00192A69">
              <w: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MEM18086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Test, recover, evacuate and charge refrigeration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MEM18088</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and repair commercial air conditioning systems and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MEM18092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and repair commercial and/or industrial refrigeration and/or air conditioning controls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Path 5</w:t>
            </w: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MEM09002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Interpret technical drawing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MEM11011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Undertake manual handling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electrical/electronic measurement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engineering measurements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computations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MEM13015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Work safely and effectively in manufacturing and engineering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MEM14006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Plan work activities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MEM16006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Organise and communicate information</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hand tools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power tools/hand held operations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Dismantle, replace and assemble engineering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MEM18086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Test, recover, evacuate and charge refrigeration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MEM18090</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and repair industrial refrigeration systems and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MEM18092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and repair commercial and/or industrial refrigeration and/or air conditioning controls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Path 6</w:t>
            </w: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MEM09002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Interpret technical drawing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MEM11011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Undertake manual handling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electrical/electronic measurement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w:t>
            </w:r>
            <w:r w:rsidRPr="00192A69">
              <w:t>erform engineering measurements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computations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MEM13015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Work safely and effectively in manufacturing and engineering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MEM14006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Plan work activities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MEM16006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Organise and communicate information</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hand tools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power tools/hand held operations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Dismantle, replace and assemble engineering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MEM18086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Test, recover, evacuate and charge refrigeration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MEM18089</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and repair central air handling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MEM18090</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and repair industrial refrigeration systems and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MEM18093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and repair integrated industrial refrigeration and/or large air handling system controls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Path 7</w:t>
            </w: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MEM09002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Interpret technical drawing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MEM11011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Undertake manual handling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electrical/electronic measurement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MEM12023</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engineering measurements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MEM12024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 computations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MEM13015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Work safely and effectively in manufacturing and engineering</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MEM14006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Plan work activities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MEM16006</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Organise and communicate information</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MEM18001</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hand tools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MEM18002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power tools/hand held operations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Fault find, test and calibrate instrumentation systems and equipment</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MEM18055</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Dismantle, replace</w:t>
            </w:r>
            <w:r w:rsidRPr="00192A69">
              <w:t xml:space="preserve"> and assemble engineering components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MEM18060</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Maintain, repair control instrumentation - single and multiple loop control systems</w:t>
            </w:r>
          </w:p>
        </w:tc>
      </w:tr>
      <w:tr w:rsidTr="00192A69">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MEM18062</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Install, maintain and calibrate instrumentation sensors, transmitters and final control elements</w:t>
            </w:r>
          </w:p>
        </w:tc>
      </w:tr>
      <w:tr w:rsidTr="00192A69">
        <w:tblPrEx>
          <w:tblW w:w="9288" w:type="dxa"/>
          <w:tblLayout w:type="fixed"/>
          <w:tblCellMar>
            <w:left w:w="62" w:type="dxa"/>
            <w:right w:w="62" w:type="dxa"/>
          </w:tblCellMar>
          <w:tblLook w:val="0000"/>
        </w:tblPrEx>
        <w:trPr>
          <w:trHeight w:val="433"/>
        </w:trPr>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MEM18064</w:t>
            </w:r>
          </w:p>
        </w:tc>
        <w:tc>
          <w:tcPr>
            <w:tcW w:w="587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Maint</w:t>
            </w:r>
            <w:r w:rsidRPr="00192A69">
              <w:t>ain instrumentation system components</w:t>
            </w:r>
          </w:p>
        </w:tc>
      </w:tr>
      <w:tr w:rsidTr="00192A69">
        <w:tblPrEx>
          <w:tblW w:w="9288" w:type="dxa"/>
          <w:tblLayout w:type="fixed"/>
          <w:tblCellMar>
            <w:left w:w="62" w:type="dxa"/>
            <w:right w:w="62" w:type="dxa"/>
          </w:tblCellMar>
          <w:tblLook w:val="0000"/>
        </w:tblPrEx>
        <w:trPr>
          <w:trHeight w:val="433"/>
        </w:trPr>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MEM18067</w:t>
            </w:r>
          </w:p>
        </w:tc>
        <w:tc>
          <w:tcPr>
            <w:tcW w:w="5874" w:type="dxa"/>
            <w:tcBorders>
              <w:top w:val="nil"/>
              <w:left w:val="nil"/>
              <w:bottom w:val="nil"/>
              <w:right w:val="nil"/>
            </w:tcBorders>
            <w:tcMar>
              <w:top w:w="0" w:type="dxa"/>
              <w:left w:w="62" w:type="dxa"/>
              <w:bottom w:w="0" w:type="dxa"/>
              <w:right w:w="62" w:type="dxa"/>
            </w:tcMar>
          </w:tcPr>
          <w:p w:rsidR="00000000" w:rsidRPr="00192A69" w:rsidP="00192A69">
            <w:pPr>
              <w:pStyle w:val="BodyText"/>
            </w:pPr>
            <w:r w:rsidRPr="00192A69">
              <w:t>Tune control loops - multi controller or multi element systems</w:t>
            </w:r>
          </w:p>
        </w:tc>
      </w:tr>
    </w:tbl>
    <w:p w:rsidR="00000000" w:rsidRPr="00192A69" w:rsidP="00192A69">
      <w:pPr>
        <w:pStyle w:val="BodyText"/>
      </w:pPr>
    </w:p>
    <w:p w:rsidR="00000000" w:rsidRPr="00192A69" w:rsidP="00192A69">
      <w:pPr>
        <w:pStyle w:val="AllowPageBreak"/>
      </w:pPr>
    </w:p>
    <w:p w:rsidR="00000000" w:rsidRPr="00192A69" w:rsidP="00192A69">
      <w:pPr>
        <w:pStyle w:val="Heading1"/>
      </w:pPr>
      <w:bookmarkStart w:id="4" w:name="O_1169807"/>
      <w:bookmarkEnd w:id="4"/>
      <w:r w:rsidRPr="00192A69">
        <w:t>Competency Field</w:t>
      </w:r>
    </w:p>
    <w:p w:rsidR="00000000" w:rsidRPr="00192A69" w:rsidP="00A9268F">
      <w:pPr>
        <w:pStyle w:val="BodyText"/>
      </w:pPr>
      <w:r w:rsidRPr="00192A69">
        <w:t>Installation and commissioning</w:t>
      </w:r>
    </w:p>
    <w:p w:rsidR="00000000" w:rsidRPr="00192A69" w:rsidP="00192A69">
      <w:pPr>
        <w:pStyle w:val="Heading1"/>
      </w:pPr>
      <w:bookmarkStart w:id="5" w:name="O_1169806"/>
      <w:bookmarkEnd w:id="5"/>
      <w:r w:rsidRPr="00192A6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92A6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Performance criteria describe the performance needed to demonstrate achievement of the element.</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92A69" w:rsidP="00192A69">
            <w:pPr>
              <w:pStyle w:val="BodyText"/>
            </w:pPr>
            <w:r w:rsidRPr="00192A69">
              <w:t>1</w:t>
            </w:r>
          </w:p>
        </w:tc>
        <w:tc>
          <w:tcPr>
            <w:tcW w:w="1986" w:type="dxa"/>
            <w:vMerge w:val="restart"/>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1.1</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Follow standard operating procedures (SOPs)</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1.2</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Comply with work health and safety (WHS) requirements at all times</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1.3</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Use appropriate personal protective equipment (PPE) in accordance with SOPs</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1.4</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Identify job requirements from specifications, drawings, job sheets or work instructions</w:t>
            </w:r>
          </w:p>
        </w:tc>
      </w:tr>
      <w:tr w:rsidTr="00192A6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92A69" w:rsidP="00192A69">
            <w:pPr>
              <w:pStyle w:val="BodyText"/>
            </w:pPr>
            <w:r w:rsidRPr="00192A69">
              <w:t>2</w:t>
            </w:r>
          </w:p>
        </w:tc>
        <w:tc>
          <w:tcPr>
            <w:tcW w:w="1986" w:type="dxa"/>
            <w:vMerge w:val="restart"/>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Plan commissioning procedure</w:t>
            </w: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2.1</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Determine control system format and understand operational intent</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2.2</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Sequence commissioning procedures effectively to meet requirement of components and control application</w:t>
            </w:r>
          </w:p>
        </w:tc>
      </w:tr>
      <w:tr w:rsidTr="00192A6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92A69" w:rsidP="00192A69">
            <w:pPr>
              <w:pStyle w:val="BodyText"/>
            </w:pPr>
            <w:r w:rsidRPr="00192A69">
              <w:t>3</w:t>
            </w:r>
          </w:p>
        </w:tc>
        <w:tc>
          <w:tcPr>
            <w:tcW w:w="1986" w:type="dxa"/>
            <w:vMerge w:val="restart"/>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Check control system installation</w:t>
            </w: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3.1</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Verify correct installation of system components against specifications</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3.2</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Ensure appropriate test equipment is functional and calibrated before use</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3.3</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Ensure components or control loop/system is powered up and checked for correct supply in accordance with specifications</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3.4</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Ensure all readings/measurements are obtained, interpreted and recorded</w:t>
            </w:r>
          </w:p>
        </w:tc>
      </w:tr>
      <w:tr w:rsidTr="00192A6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92A69" w:rsidP="00192A69">
            <w:pPr>
              <w:pStyle w:val="BodyText"/>
            </w:pPr>
            <w:r w:rsidRPr="00192A69">
              <w:t>4</w:t>
            </w:r>
          </w:p>
        </w:tc>
        <w:tc>
          <w:tcPr>
            <w:tcW w:w="1986" w:type="dxa"/>
            <w:vMerge w:val="restart"/>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Adjust control system and assess performance</w:t>
            </w: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4.1</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Adjust control loop/system components to meet control characteristics, application and process specifications utilising appropriate techniques</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4.2</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Make final verifications including any operational adjustments to ensure required performance</w:t>
            </w:r>
          </w:p>
        </w:tc>
      </w:tr>
      <w:tr w:rsidTr="00192A6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92A69">
            <w:pPr>
              <w:pStyle w:val="BodyText"/>
              <w:rPr>
                <w:lang w:val="en-NZ"/>
              </w:rPr>
            </w:pP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92A69" w:rsidP="00192A69">
            <w:pPr>
              <w:pStyle w:val="BodyText"/>
            </w:pPr>
            <w:r w:rsidRPr="00192A69">
              <w:t>5</w:t>
            </w:r>
          </w:p>
        </w:tc>
        <w:tc>
          <w:tcPr>
            <w:tcW w:w="1986" w:type="dxa"/>
            <w:vMerge w:val="restart"/>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Commission modifications</w:t>
            </w: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5.1</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Ensure necessary modifications to change performance in order to meet manufacturers</w:t>
            </w:r>
            <w:r>
              <w:t>’</w:t>
            </w:r>
            <w:r w:rsidRPr="00192A69">
              <w:t xml:space="preserve"> or operational specifications or safety and legislative requirements are undertaken or actioned</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5.2</w:t>
            </w:r>
          </w:p>
        </w:tc>
        <w:tc>
          <w:tcPr>
            <w:tcW w:w="5678"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Provide reports on system/process chara</w:t>
            </w:r>
            <w:r w:rsidRPr="00192A69">
              <w:t>cteristics for warranty, handover and legislative purposes</w:t>
            </w:r>
          </w:p>
        </w:tc>
      </w:tr>
      <w:tr w:rsidTr="00192A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5.3</w:t>
            </w:r>
          </w:p>
        </w:tc>
        <w:tc>
          <w:tcPr>
            <w:tcW w:w="5678" w:type="dxa"/>
            <w:tcBorders>
              <w:top w:val="nil"/>
              <w:left w:val="nil"/>
              <w:bottom w:val="nil"/>
              <w:right w:val="nil"/>
            </w:tcBorders>
            <w:tcMar>
              <w:top w:w="0" w:type="dxa"/>
              <w:left w:w="62" w:type="dxa"/>
              <w:bottom w:w="0" w:type="dxa"/>
              <w:right w:w="62" w:type="dxa"/>
            </w:tcMar>
          </w:tcPr>
          <w:p w:rsidR="00000000" w:rsidRPr="00192A69" w:rsidP="00192A69">
            <w:pPr>
              <w:pStyle w:val="BodyText"/>
            </w:pPr>
            <w:r w:rsidRPr="00192A69">
              <w:t>Document all modifications and record result according to SOPs</w:t>
            </w:r>
          </w:p>
        </w:tc>
      </w:tr>
    </w:tbl>
    <w:p w:rsidR="00000000" w:rsidRPr="00192A69" w:rsidP="00192A69">
      <w:pPr>
        <w:pStyle w:val="BodyText"/>
      </w:pPr>
    </w:p>
    <w:p w:rsidR="00000000" w:rsidRPr="00192A69" w:rsidP="00192A69">
      <w:pPr>
        <w:pStyle w:val="AllowPageBreak"/>
      </w:pPr>
    </w:p>
    <w:p w:rsidR="00000000" w:rsidRPr="00192A69" w:rsidP="00192A69">
      <w:pPr>
        <w:pStyle w:val="Heading1"/>
      </w:pPr>
      <w:bookmarkStart w:id="6" w:name="O_1169805"/>
      <w:bookmarkEnd w:id="6"/>
      <w:r w:rsidRPr="00192A69">
        <w:t>Foundation Skills</w:t>
      </w:r>
    </w:p>
    <w:p w:rsidR="00000000" w:rsidRPr="00192A69" w:rsidP="00A9268F">
      <w:pPr>
        <w:pStyle w:val="BodyText"/>
      </w:pPr>
      <w:r w:rsidRPr="00192A69">
        <w:t>This section describes those required skills (reading, writing, oral</w:t>
      </w:r>
      <w:r w:rsidRPr="00192A69">
        <w:t xml:space="preserve"> communication and numeracy) that are essential to workplace performance in this unit of competency.  </w:t>
      </w:r>
    </w:p>
    <w:p w:rsidR="00000000" w:rsidRPr="00192A69" w:rsidP="00A9268F">
      <w:pPr>
        <w:pStyle w:val="BodyText"/>
      </w:pPr>
      <w:r w:rsidRPr="00192A69">
        <w:t>Foundation skills essential to performance are explicit in the performance criteria of this unit of competency.</w:t>
      </w:r>
    </w:p>
    <w:p w:rsidR="00000000" w:rsidRPr="00192A69" w:rsidP="00192A69">
      <w:pPr>
        <w:pStyle w:val="Heading1"/>
      </w:pPr>
      <w:bookmarkStart w:id="7" w:name="O_1169804"/>
      <w:bookmarkEnd w:id="7"/>
      <w:r w:rsidRPr="00192A69">
        <w:t>Range of Conditions</w:t>
      </w:r>
    </w:p>
    <w:tbl>
      <w:tblPr>
        <w:tblW w:w="9288" w:type="dxa"/>
        <w:tblLayout w:type="fixed"/>
        <w:tblCellMar>
          <w:left w:w="62" w:type="dxa"/>
          <w:right w:w="62" w:type="dxa"/>
        </w:tblCellMar>
        <w:tblLook w:val="0000"/>
      </w:tblPr>
      <w:tblGrid>
        <w:gridCol w:w="2914"/>
        <w:gridCol w:w="6374"/>
      </w:tblGrid>
      <w:tr w:rsidTr="00192A69">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t>T</w:t>
            </w:r>
            <w:r w:rsidRPr="00192A69">
              <w:t>his field allows for different work environments and conditions that may affect performance. Essential operating conditions that may be present (depending on the work situation, needs of the candidate, accessibility of the item, and local industry and regi</w:t>
            </w:r>
            <w:r w:rsidRPr="00192A69">
              <w:t>onal contexts) are included.</w:t>
            </w:r>
          </w:p>
        </w:tc>
      </w:tr>
      <w:tr w:rsidTr="00192A69">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Commissioning includes:</w:t>
            </w:r>
          </w:p>
        </w:tc>
        <w:tc>
          <w:tcPr>
            <w:tcW w:w="6374" w:type="dxa"/>
            <w:tcBorders>
              <w:top w:val="nil"/>
              <w:left w:val="nil"/>
              <w:bottom w:val="nil"/>
              <w:right w:val="nil"/>
            </w:tcBorders>
            <w:tcMar>
              <w:top w:w="0" w:type="dxa"/>
              <w:left w:w="62" w:type="dxa"/>
              <w:bottom w:w="0" w:type="dxa"/>
              <w:right w:w="62" w:type="dxa"/>
            </w:tcMar>
          </w:tcPr>
          <w:p w:rsidR="00000000" w:rsidRPr="00192A69" w:rsidP="00192A69">
            <w:pPr>
              <w:pStyle w:val="ListBullet"/>
            </w:pPr>
            <w:r w:rsidRPr="00192A69">
              <w:t>the development of a commissioning procedure, testing of operation and adjustment to conform to specification</w:t>
            </w:r>
          </w:p>
          <w:p w:rsidR="00000000" w:rsidP="00192A69">
            <w:pPr>
              <w:pStyle w:val="BodyText"/>
              <w:rPr>
                <w:lang w:val="en-NZ"/>
              </w:rPr>
            </w:pPr>
          </w:p>
        </w:tc>
      </w:tr>
      <w:tr w:rsidTr="00192A69">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Control system includes:</w:t>
            </w:r>
          </w:p>
        </w:tc>
        <w:tc>
          <w:tcPr>
            <w:tcW w:w="6374" w:type="dxa"/>
            <w:tcBorders>
              <w:top w:val="nil"/>
              <w:left w:val="nil"/>
              <w:bottom w:val="nil"/>
              <w:right w:val="nil"/>
            </w:tcBorders>
            <w:tcMar>
              <w:top w:w="0" w:type="dxa"/>
              <w:left w:w="62" w:type="dxa"/>
              <w:bottom w:w="0" w:type="dxa"/>
              <w:right w:w="62" w:type="dxa"/>
            </w:tcMar>
          </w:tcPr>
          <w:p w:rsidR="00000000" w:rsidRPr="00192A69" w:rsidP="00192A69">
            <w:pPr>
              <w:pStyle w:val="ListBullet"/>
            </w:pPr>
            <w:r w:rsidRPr="00192A69">
              <w:t>closed or open on continuous or step process control systems. Loop/system control can incorporate the use of pneumatics, electrical, electronics, hydraulics or a combination</w:t>
            </w:r>
          </w:p>
          <w:p w:rsidR="00000000" w:rsidP="00192A69">
            <w:pPr>
              <w:pStyle w:val="BodyText"/>
              <w:rPr>
                <w:lang w:val="en-NZ"/>
              </w:rPr>
            </w:pPr>
          </w:p>
        </w:tc>
      </w:tr>
      <w:tr w:rsidTr="00192A69">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192A69">
            <w:pPr>
              <w:pStyle w:val="BodyText"/>
              <w:rPr>
                <w:lang w:val="en-NZ"/>
              </w:rPr>
            </w:pPr>
            <w:r w:rsidRPr="00192A69">
              <w:rPr>
                <w:rStyle w:val="SpecialBold"/>
              </w:rPr>
              <w:t>System components include one (1) or more of the following:</w:t>
            </w:r>
          </w:p>
        </w:tc>
        <w:tc>
          <w:tcPr>
            <w:tcW w:w="6374" w:type="dxa"/>
            <w:tcBorders>
              <w:top w:val="nil"/>
              <w:left w:val="nil"/>
              <w:bottom w:val="nil"/>
              <w:right w:val="nil"/>
            </w:tcBorders>
            <w:tcMar>
              <w:top w:w="0" w:type="dxa"/>
              <w:left w:w="62" w:type="dxa"/>
              <w:bottom w:w="0" w:type="dxa"/>
              <w:right w:w="62" w:type="dxa"/>
            </w:tcMar>
          </w:tcPr>
          <w:p w:rsidR="00000000" w:rsidRPr="00192A69" w:rsidP="00192A69">
            <w:pPr>
              <w:pStyle w:val="ListBullet"/>
            </w:pPr>
            <w:r w:rsidRPr="00192A69">
              <w:t>all instruments and</w:t>
            </w:r>
            <w:r w:rsidRPr="00192A69">
              <w:t xml:space="preserve"> devices which make up or control a loop/system, including:</w:t>
            </w:r>
          </w:p>
          <w:p w:rsidR="00000000" w:rsidRPr="00192A69" w:rsidP="00192A69">
            <w:pPr>
              <w:pStyle w:val="ListBullet2"/>
            </w:pPr>
            <w:r w:rsidRPr="00192A69">
              <w:t>sensing devices</w:t>
            </w:r>
          </w:p>
          <w:p w:rsidR="00000000" w:rsidRPr="00192A69" w:rsidP="00192A69">
            <w:pPr>
              <w:pStyle w:val="ListBullet2"/>
            </w:pPr>
            <w:r w:rsidRPr="00192A69">
              <w:t>control devices</w:t>
            </w:r>
          </w:p>
          <w:p w:rsidR="00000000" w:rsidRPr="00192A69" w:rsidP="00192A69">
            <w:pPr>
              <w:pStyle w:val="ListBullet2"/>
            </w:pPr>
            <w:r w:rsidRPr="00192A69">
              <w:t xml:space="preserve">actuators </w:t>
            </w:r>
          </w:p>
          <w:p w:rsidR="00000000" w:rsidRPr="00192A69" w:rsidP="00192A69">
            <w:pPr>
              <w:pStyle w:val="ListBullet2"/>
            </w:pPr>
            <w:r w:rsidRPr="00192A69">
              <w:t>transducers</w:t>
            </w:r>
          </w:p>
          <w:p w:rsidR="00000000" w:rsidRPr="00192A69" w:rsidP="00192A69">
            <w:pPr>
              <w:pStyle w:val="BodyText"/>
            </w:pPr>
          </w:p>
        </w:tc>
      </w:tr>
    </w:tbl>
    <w:p w:rsidR="00A9268F" w:rsidP="00192A69">
      <w:pPr>
        <w:pStyle w:val="BodyText"/>
      </w:pPr>
    </w:p>
    <w:p w:rsidR="00A9268F" w:rsidP="00192A69">
      <w:pPr>
        <w:pStyle w:val="BodyText"/>
      </w:pPr>
    </w:p>
    <w:p w:rsidR="00000000" w:rsidRPr="00192A69" w:rsidP="00192A69">
      <w:pPr>
        <w:pStyle w:val="Heading1"/>
      </w:pPr>
      <w:bookmarkStart w:id="8" w:name="O_1169803"/>
      <w:bookmarkEnd w:id="8"/>
      <w:r w:rsidRPr="00192A69">
        <w:t>Unit Mapping Information</w:t>
      </w:r>
    </w:p>
    <w:p w:rsidR="00000000" w:rsidRPr="00192A69" w:rsidP="00A9268F">
      <w:pPr>
        <w:pStyle w:val="BodyText"/>
      </w:pPr>
      <w:r w:rsidRPr="00192A69">
        <w:t>Release 2. Supersedes and is equivalent to MEM10007 Modify control systems (Release 1).</w:t>
      </w:r>
    </w:p>
    <w:p w:rsidR="00000000" w:rsidRPr="00192A69" w:rsidP="00A9268F">
      <w:pPr>
        <w:pStyle w:val="BodyText"/>
      </w:pPr>
      <w:r w:rsidRPr="00192A69">
        <w:t>Release 1. Supersedes and is equivalent to MEM10007C Modify control systems.</w:t>
      </w:r>
    </w:p>
    <w:p w:rsidR="00000000" w:rsidRPr="00192A69" w:rsidP="00192A69">
      <w:pPr>
        <w:pStyle w:val="Heading1"/>
      </w:pPr>
      <w:bookmarkStart w:id="9" w:name="O_1169811"/>
      <w:bookmarkEnd w:id="9"/>
      <w:r w:rsidRPr="00192A69">
        <w:t>Links</w:t>
      </w:r>
    </w:p>
    <w:p w:rsidR="00000000" w:rsidRPr="00192A69" w:rsidP="00A9268F">
      <w:pPr>
        <w:pStyle w:val="BodyText"/>
      </w:pPr>
      <w:r w:rsidRPr="00192A6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00533">
        <w:rPr>
          <w:rStyle w:val="Hyperlink"/>
        </w:rPr>
        <w:t>https://vetnet.gov.au/Pages/TrainingDocs.aspx?q=b7050d37-5fd0-4740-8f7d-3b7a49c10bb2</w:t>
      </w:r>
      <w:r>
        <w:fldChar w:fldCharType="end"/>
      </w:r>
    </w:p>
    <w:p w:rsidR="00000000" w:rsidRPr="00192A69" w:rsidP="00192A69"/>
    <w:sectPr w:rsidSect="00192A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69" w:rsidRPr="00A9268F" w:rsidP="00A92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8F" w:rsidP="00192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9268F" w:rsidP="00192A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268F" w:rsidP="00192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A69" w:rsidRPr="00A9268F" w:rsidP="00A926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68F" w:rsidRPr="002D2AF8" w:rsidP="00192A69">
    <w:pPr>
      <w:pStyle w:val="Header"/>
      <w:framePr w:wrap="around"/>
    </w:pPr>
    <w:r>
      <w:fldChar w:fldCharType="begin"/>
    </w:r>
    <w:r>
      <w:instrText xml:space="preserve"> TITLE   \* MERGEFORMAT </w:instrText>
    </w:r>
    <w:r>
      <w:fldChar w:fldCharType="separate"/>
    </w:r>
    <w:r>
      <w:t>MEM10007 Modify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9268F" w:rsidP="00192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C8F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ED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688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A69"/>
    <w:pPr>
      <w:spacing w:before="360" w:after="60"/>
      <w:outlineLvl w:val="0"/>
    </w:pPr>
    <w:rPr>
      <w:sz w:val="32"/>
    </w:rPr>
  </w:style>
  <w:style w:type="paragraph" w:styleId="Heading2">
    <w:name w:val="heading 2"/>
    <w:basedOn w:val="HeadingBase"/>
    <w:next w:val="BodyText"/>
    <w:link w:val="Heading2Char"/>
    <w:qFormat/>
    <w:rsid w:val="00192A69"/>
    <w:pPr>
      <w:keepLines/>
      <w:spacing w:before="240" w:after="120"/>
      <w:outlineLvl w:val="1"/>
    </w:pPr>
    <w:rPr>
      <w:sz w:val="28"/>
      <w:szCs w:val="40"/>
    </w:rPr>
  </w:style>
  <w:style w:type="paragraph" w:styleId="Heading3">
    <w:name w:val="heading 3"/>
    <w:basedOn w:val="HeadingBase"/>
    <w:next w:val="BodyText"/>
    <w:link w:val="Heading3Char"/>
    <w:qFormat/>
    <w:rsid w:val="00192A69"/>
    <w:pPr>
      <w:spacing w:before="180" w:after="120"/>
      <w:outlineLvl w:val="2"/>
    </w:pPr>
    <w:rPr>
      <w:spacing w:val="-10"/>
      <w:kern w:val="32"/>
    </w:rPr>
  </w:style>
  <w:style w:type="paragraph" w:styleId="Heading4">
    <w:name w:val="heading 4"/>
    <w:basedOn w:val="HeadingBase"/>
    <w:next w:val="BodyText"/>
    <w:link w:val="Heading4Char"/>
    <w:qFormat/>
    <w:rsid w:val="00192A69"/>
    <w:pPr>
      <w:spacing w:before="160" w:after="120"/>
      <w:outlineLvl w:val="3"/>
    </w:pPr>
    <w:rPr>
      <w:sz w:val="22"/>
    </w:rPr>
  </w:style>
  <w:style w:type="paragraph" w:styleId="Heading5">
    <w:name w:val="heading 5"/>
    <w:basedOn w:val="HeadingBase"/>
    <w:next w:val="Normal"/>
    <w:link w:val="Heading5Char"/>
    <w:qFormat/>
    <w:rsid w:val="00192A69"/>
    <w:pPr>
      <w:spacing w:before="80"/>
      <w:outlineLvl w:val="4"/>
    </w:pPr>
    <w:rPr>
      <w:color w:val="918585"/>
      <w:sz w:val="20"/>
    </w:rPr>
  </w:style>
  <w:style w:type="paragraph" w:styleId="Heading6">
    <w:name w:val="heading 6"/>
    <w:basedOn w:val="HeadingBase"/>
    <w:next w:val="Normal"/>
    <w:link w:val="Heading6Char"/>
    <w:qFormat/>
    <w:rsid w:val="00192A69"/>
    <w:pPr>
      <w:spacing w:before="60"/>
      <w:outlineLvl w:val="5"/>
    </w:pPr>
    <w:rPr>
      <w:color w:val="918585"/>
      <w:sz w:val="20"/>
    </w:rPr>
  </w:style>
  <w:style w:type="paragraph" w:styleId="Heading7">
    <w:name w:val="heading 7"/>
    <w:basedOn w:val="Normal"/>
    <w:next w:val="Normal"/>
    <w:link w:val="Heading7Char"/>
    <w:qFormat/>
    <w:rsid w:val="00192A69"/>
    <w:pPr>
      <w:ind w:left="720"/>
      <w:outlineLvl w:val="6"/>
    </w:pPr>
    <w:rPr>
      <w:i/>
    </w:rPr>
  </w:style>
  <w:style w:type="paragraph" w:styleId="Heading8">
    <w:name w:val="heading 8"/>
    <w:basedOn w:val="Normal"/>
    <w:next w:val="Normal"/>
    <w:link w:val="Heading8Char"/>
    <w:qFormat/>
    <w:rsid w:val="00192A69"/>
    <w:pPr>
      <w:ind w:left="720"/>
      <w:outlineLvl w:val="7"/>
    </w:pPr>
    <w:rPr>
      <w:i/>
    </w:rPr>
  </w:style>
  <w:style w:type="paragraph" w:styleId="Heading9">
    <w:name w:val="heading 9"/>
    <w:basedOn w:val="Normal"/>
    <w:next w:val="Normal"/>
    <w:link w:val="Heading9Char"/>
    <w:qFormat/>
    <w:rsid w:val="00192A69"/>
    <w:pPr>
      <w:ind w:left="720"/>
      <w:outlineLvl w:val="8"/>
    </w:pPr>
    <w:rPr>
      <w:i/>
    </w:rPr>
  </w:style>
  <w:style w:type="character" w:default="1" w:styleId="DefaultParagraphFont">
    <w:name w:val="Default Paragraph Font"/>
    <w:uiPriority w:val="1"/>
    <w:unhideWhenUsed/>
    <w:rsid w:val="00192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A69"/>
  </w:style>
  <w:style w:type="character" w:customStyle="1" w:styleId="Heading1Char">
    <w:name w:val="Heading 1 Char"/>
    <w:basedOn w:val="DefaultParagraphFont"/>
    <w:link w:val="Heading1"/>
    <w:rsid w:val="00192A69"/>
    <w:rPr>
      <w:rFonts w:ascii="Times New Roman" w:eastAsia="Times New Roman" w:hAnsi="Times New Roman" w:cs="Times New Roman"/>
      <w:b/>
      <w:sz w:val="32"/>
      <w:szCs w:val="20"/>
      <w:lang w:eastAsia="en-US"/>
    </w:rPr>
  </w:style>
  <w:style w:type="paragraph" w:styleId="BodyText">
    <w:name w:val="Body Text"/>
    <w:basedOn w:val="Normal"/>
    <w:link w:val="BodyTextChar"/>
    <w:rsid w:val="00192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A69"/>
    <w:rPr>
      <w:rFonts w:ascii="Times New Roman" w:eastAsia="Times New Roman" w:hAnsi="Times New Roman" w:cs="Times New Roman"/>
      <w:sz w:val="24"/>
      <w:lang w:eastAsia="en-US"/>
    </w:rPr>
  </w:style>
  <w:style w:type="paragraph" w:styleId="ListBullet">
    <w:name w:val="List Bullet"/>
    <w:basedOn w:val="List"/>
    <w:rsid w:val="00192A69"/>
    <w:pPr>
      <w:numPr>
        <w:numId w:val="12"/>
      </w:numPr>
      <w:tabs>
        <w:tab w:val="clear" w:pos="340"/>
      </w:tabs>
      <w:spacing w:before="40" w:after="40"/>
    </w:pPr>
  </w:style>
  <w:style w:type="character" w:customStyle="1" w:styleId="SpecialBold">
    <w:name w:val="Special Bold"/>
    <w:basedOn w:val="DefaultParagraphFont"/>
    <w:rsid w:val="00192A69"/>
    <w:rPr>
      <w:b/>
      <w:spacing w:val="0"/>
    </w:rPr>
  </w:style>
  <w:style w:type="paragraph" w:styleId="ListBullet2">
    <w:name w:val="List Bullet 2"/>
    <w:basedOn w:val="List2"/>
    <w:rsid w:val="00192A69"/>
    <w:pPr>
      <w:numPr>
        <w:numId w:val="13"/>
      </w:numPr>
      <w:tabs>
        <w:tab w:val="clear" w:pos="680"/>
      </w:tabs>
    </w:pPr>
  </w:style>
  <w:style w:type="paragraph" w:customStyle="1" w:styleId="SuperHeading">
    <w:name w:val="SuperHeading"/>
    <w:basedOn w:val="Normal"/>
    <w:rsid w:val="00192A69"/>
    <w:pPr>
      <w:spacing w:before="240" w:after="120"/>
      <w:outlineLvl w:val="0"/>
    </w:pPr>
    <w:rPr>
      <w:rFonts w:ascii="Times New Roman" w:hAnsi="Times New Roman"/>
      <w:b/>
      <w:sz w:val="32"/>
    </w:rPr>
  </w:style>
  <w:style w:type="paragraph" w:customStyle="1" w:styleId="AllowPageBreak">
    <w:name w:val="AllowPageBreak"/>
    <w:rsid w:val="00192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2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A69"/>
    <w:rPr>
      <w:rFonts w:ascii="Courier New" w:eastAsia="Times New Roman" w:hAnsi="Courier New" w:cs="Times New Roman"/>
      <w:i/>
      <w:szCs w:val="20"/>
      <w:lang w:eastAsia="en-US"/>
    </w:rPr>
  </w:style>
  <w:style w:type="paragraph" w:customStyle="1" w:styleId="HeadingBase">
    <w:name w:val="Heading Base"/>
    <w:rsid w:val="00192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A69"/>
    <w:pPr>
      <w:tabs>
        <w:tab w:val="right" w:leader="dot" w:pos="9072"/>
      </w:tabs>
      <w:ind w:left="567"/>
    </w:pPr>
    <w:rPr>
      <w:szCs w:val="22"/>
    </w:rPr>
  </w:style>
  <w:style w:type="paragraph" w:customStyle="1" w:styleId="TOCBase">
    <w:name w:val="TOC Base"/>
    <w:rsid w:val="00192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A69"/>
    <w:pPr>
      <w:tabs>
        <w:tab w:val="right" w:leader="dot" w:pos="9072"/>
      </w:tabs>
      <w:spacing w:before="40" w:after="40"/>
      <w:ind w:left="284"/>
    </w:pPr>
    <w:rPr>
      <w:rFonts w:ascii="Times New Roman" w:hAnsi="Times New Roman"/>
    </w:rPr>
  </w:style>
  <w:style w:type="paragraph" w:styleId="TOC1">
    <w:name w:val="toc 1"/>
    <w:basedOn w:val="TOCBase"/>
    <w:next w:val="Normal"/>
    <w:rsid w:val="00192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A69"/>
    <w:rPr>
      <w:rFonts w:ascii="Times New Roman" w:eastAsia="Times New Roman" w:hAnsi="Times New Roman" w:cs="Times New Roman"/>
      <w:sz w:val="16"/>
      <w:lang w:eastAsia="en-US"/>
    </w:rPr>
  </w:style>
  <w:style w:type="paragraph" w:styleId="Title">
    <w:name w:val="Title"/>
    <w:basedOn w:val="HeadingBase"/>
    <w:link w:val="TitleChar"/>
    <w:qFormat/>
    <w:rsid w:val="00192A69"/>
    <w:pPr>
      <w:spacing w:before="5040"/>
      <w:jc w:val="center"/>
    </w:pPr>
    <w:rPr>
      <w:sz w:val="48"/>
      <w:szCs w:val="72"/>
      <w:lang w:val="en-US"/>
    </w:rPr>
  </w:style>
  <w:style w:type="character" w:customStyle="1" w:styleId="TitleChar">
    <w:name w:val="Title Char"/>
    <w:basedOn w:val="DefaultParagraphFont"/>
    <w:link w:val="Title"/>
    <w:rsid w:val="00192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A69"/>
    <w:pPr>
      <w:tabs>
        <w:tab w:val="left" w:pos="3600"/>
        <w:tab w:val="left" w:pos="3958"/>
      </w:tabs>
    </w:pPr>
  </w:style>
  <w:style w:type="paragraph" w:styleId="List">
    <w:name w:val="List"/>
    <w:basedOn w:val="BodyText"/>
    <w:next w:val="BodyText"/>
    <w:rsid w:val="00192A69"/>
    <w:pPr>
      <w:tabs>
        <w:tab w:val="left" w:pos="340"/>
      </w:tabs>
      <w:spacing w:before="60" w:after="60"/>
      <w:ind w:left="340" w:hanging="340"/>
    </w:pPr>
  </w:style>
  <w:style w:type="paragraph" w:customStyle="1" w:styleId="Note">
    <w:name w:val="Note"/>
    <w:basedOn w:val="BodyText"/>
    <w:rsid w:val="00192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A69"/>
    <w:pPr>
      <w:framePr w:wrap="auto" w:hAnchor="text" w:y="6049"/>
    </w:pPr>
    <w:rPr>
      <w:color w:val="000000"/>
      <w:sz w:val="40"/>
    </w:rPr>
  </w:style>
  <w:style w:type="paragraph" w:customStyle="1" w:styleId="TOCTitle">
    <w:name w:val="TOCTitle"/>
    <w:basedOn w:val="Heading1"/>
    <w:rsid w:val="00192A69"/>
    <w:pPr>
      <w:spacing w:after="240"/>
      <w:jc w:val="center"/>
      <w:outlineLvl w:val="9"/>
    </w:pPr>
    <w:rPr>
      <w:caps/>
    </w:rPr>
  </w:style>
  <w:style w:type="paragraph" w:customStyle="1" w:styleId="Version">
    <w:name w:val="Version"/>
    <w:rsid w:val="00192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A69"/>
    <w:pPr>
      <w:keepNext w:val="0"/>
      <w:tabs>
        <w:tab w:val="right" w:pos="4176"/>
      </w:tabs>
      <w:ind w:left="198" w:hanging="198"/>
    </w:pPr>
    <w:rPr>
      <w:rFonts w:ascii="Garamond" w:hAnsi="Garamond"/>
    </w:rPr>
  </w:style>
  <w:style w:type="paragraph" w:styleId="IndexHeading">
    <w:name w:val="index heading"/>
    <w:basedOn w:val="Normal"/>
    <w:next w:val="Index1"/>
    <w:semiHidden/>
    <w:rsid w:val="00192A69"/>
    <w:pPr>
      <w:spacing w:before="120" w:after="120"/>
    </w:pPr>
    <w:rPr>
      <w:rFonts w:ascii="Arial" w:hAnsi="Arial"/>
      <w:b/>
      <w:color w:val="918585"/>
      <w:sz w:val="24"/>
    </w:rPr>
  </w:style>
  <w:style w:type="paragraph" w:styleId="Header">
    <w:name w:val="header"/>
    <w:basedOn w:val="Normal"/>
    <w:link w:val="HeaderChar"/>
    <w:rsid w:val="00192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A69"/>
    <w:rPr>
      <w:rFonts w:ascii="Times New Roman" w:eastAsia="Times New Roman" w:hAnsi="Times New Roman" w:cs="Times New Roman"/>
      <w:sz w:val="16"/>
      <w:szCs w:val="20"/>
      <w:lang w:val="en-GB" w:eastAsia="en-US"/>
    </w:rPr>
  </w:style>
  <w:style w:type="paragraph" w:customStyle="1" w:styleId="Chapter">
    <w:name w:val="Chapter"/>
    <w:basedOn w:val="Normal"/>
    <w:rsid w:val="00192A69"/>
    <w:pPr>
      <w:spacing w:before="240"/>
    </w:pPr>
    <w:rPr>
      <w:rFonts w:ascii="Times New Roman" w:hAnsi="Times New Roman"/>
      <w:smallCaps/>
      <w:spacing w:val="80"/>
      <w:sz w:val="28"/>
    </w:rPr>
  </w:style>
  <w:style w:type="paragraph" w:customStyle="1" w:styleId="InChapter">
    <w:name w:val="InChapter"/>
    <w:basedOn w:val="Heading3"/>
    <w:rsid w:val="00192A69"/>
    <w:pPr>
      <w:spacing w:after="240"/>
      <w:outlineLvl w:val="9"/>
    </w:pPr>
    <w:rPr>
      <w:noProof/>
    </w:rPr>
  </w:style>
  <w:style w:type="paragraph" w:styleId="Index2">
    <w:name w:val="index 2"/>
    <w:basedOn w:val="Normal"/>
    <w:next w:val="Normal"/>
    <w:semiHidden/>
    <w:rsid w:val="00192A69"/>
    <w:pPr>
      <w:tabs>
        <w:tab w:val="right" w:pos="4176"/>
      </w:tabs>
      <w:ind w:left="568" w:hanging="284"/>
    </w:pPr>
    <w:rPr>
      <w:rFonts w:ascii="Garamond" w:hAnsi="Garamond"/>
    </w:rPr>
  </w:style>
  <w:style w:type="paragraph" w:customStyle="1" w:styleId="Byline">
    <w:name w:val="Byline"/>
    <w:rsid w:val="00192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A69"/>
    <w:pPr>
      <w:tabs>
        <w:tab w:val="clear" w:pos="3600"/>
        <w:tab w:val="clear" w:pos="3958"/>
      </w:tabs>
      <w:jc w:val="right"/>
    </w:pPr>
  </w:style>
  <w:style w:type="character" w:styleId="Emphasis">
    <w:name w:val="Emphasis"/>
    <w:basedOn w:val="DefaultParagraphFont"/>
    <w:qFormat/>
    <w:rsid w:val="00192A69"/>
    <w:rPr>
      <w:i/>
    </w:rPr>
  </w:style>
  <w:style w:type="paragraph" w:styleId="Caption">
    <w:name w:val="caption"/>
    <w:basedOn w:val="BodyText"/>
    <w:next w:val="Normal"/>
    <w:qFormat/>
    <w:rsid w:val="00192A69"/>
    <w:pPr>
      <w:framePr w:w="2268" w:hSpace="181" w:vSpace="181" w:wrap="around" w:vAnchor="text" w:hAnchor="page" w:x="1135" w:y="285" w:anchorLock="1"/>
    </w:pPr>
    <w:rPr>
      <w:i/>
    </w:rPr>
  </w:style>
  <w:style w:type="paragraph" w:customStyle="1" w:styleId="MiniTOCTitle">
    <w:name w:val="MiniTOCTitle"/>
    <w:basedOn w:val="Heading4"/>
    <w:rsid w:val="00192A69"/>
    <w:pPr>
      <w:spacing w:before="240"/>
      <w:outlineLvl w:val="9"/>
    </w:pPr>
    <w:rPr>
      <w:noProof/>
      <w:sz w:val="24"/>
    </w:rPr>
  </w:style>
  <w:style w:type="paragraph" w:customStyle="1" w:styleId="MiniTOCItem">
    <w:name w:val="MiniTOCItem"/>
    <w:basedOn w:val="ListBullet"/>
    <w:rsid w:val="00192A69"/>
    <w:pPr>
      <w:numPr>
        <w:numId w:val="0"/>
      </w:numPr>
      <w:tabs>
        <w:tab w:val="right" w:leader="dot" w:pos="6521"/>
      </w:tabs>
      <w:spacing w:before="0" w:after="0"/>
    </w:pPr>
  </w:style>
  <w:style w:type="paragraph" w:customStyle="1" w:styleId="TOFTitle">
    <w:name w:val="TOFTitle"/>
    <w:basedOn w:val="TOCTitle"/>
    <w:rsid w:val="00192A69"/>
  </w:style>
  <w:style w:type="paragraph" w:styleId="TableofFigures">
    <w:name w:val="table of figures"/>
    <w:basedOn w:val="Normal"/>
    <w:next w:val="Normal"/>
    <w:semiHidden/>
    <w:rsid w:val="00192A69"/>
    <w:pPr>
      <w:tabs>
        <w:tab w:val="right" w:leader="dot" w:pos="9072"/>
      </w:tabs>
      <w:ind w:left="970" w:hanging="403"/>
    </w:pPr>
    <w:rPr>
      <w:rFonts w:ascii="Times New Roman" w:hAnsi="Times New Roman"/>
      <w:b/>
    </w:rPr>
  </w:style>
  <w:style w:type="paragraph" w:styleId="ListNumber">
    <w:name w:val="List Number"/>
    <w:basedOn w:val="List"/>
    <w:rsid w:val="00192A69"/>
    <w:pPr>
      <w:numPr>
        <w:numId w:val="15"/>
      </w:numPr>
      <w:tabs>
        <w:tab w:val="clear" w:pos="340"/>
      </w:tabs>
    </w:pPr>
  </w:style>
  <w:style w:type="character" w:customStyle="1" w:styleId="WingdingSymbols">
    <w:name w:val="Wingding Symbols"/>
    <w:rsid w:val="00192A69"/>
    <w:rPr>
      <w:rFonts w:ascii="Wingdings" w:hAnsi="Wingdings"/>
    </w:rPr>
  </w:style>
  <w:style w:type="paragraph" w:customStyle="1" w:styleId="TableHeading">
    <w:name w:val="Table Heading"/>
    <w:basedOn w:val="HeadingBase"/>
    <w:rsid w:val="00192A69"/>
    <w:pPr>
      <w:keepLines/>
      <w:pBdr>
        <w:bottom w:val="single" w:sz="6" w:space="1" w:color="918585"/>
      </w:pBdr>
      <w:spacing w:before="240"/>
    </w:pPr>
  </w:style>
  <w:style w:type="character" w:customStyle="1" w:styleId="HotSpot">
    <w:name w:val="HotSpot"/>
    <w:rsid w:val="00192A69"/>
    <w:rPr>
      <w:color w:val="0033CC"/>
      <w:u w:val="none"/>
    </w:rPr>
  </w:style>
  <w:style w:type="paragraph" w:customStyle="1" w:styleId="BodyTextRight">
    <w:name w:val="Body Text Right"/>
    <w:basedOn w:val="BodyText"/>
    <w:rsid w:val="00192A69"/>
    <w:pPr>
      <w:spacing w:before="0" w:after="0"/>
      <w:jc w:val="right"/>
    </w:pPr>
  </w:style>
  <w:style w:type="paragraph" w:styleId="Index3">
    <w:name w:val="index 3"/>
    <w:basedOn w:val="ListNumber2"/>
    <w:next w:val="Normal"/>
    <w:semiHidden/>
    <w:rsid w:val="00192A69"/>
    <w:pPr>
      <w:numPr>
        <w:numId w:val="0"/>
      </w:numPr>
      <w:tabs>
        <w:tab w:val="right" w:leader="dot" w:pos="4176"/>
      </w:tabs>
    </w:pPr>
  </w:style>
  <w:style w:type="paragraph" w:styleId="ListNumber2">
    <w:name w:val="List Number 2"/>
    <w:basedOn w:val="List2"/>
    <w:rsid w:val="00192A69"/>
    <w:pPr>
      <w:numPr>
        <w:numId w:val="10"/>
      </w:numPr>
      <w:tabs>
        <w:tab w:val="clear" w:pos="1060"/>
      </w:tabs>
    </w:pPr>
  </w:style>
  <w:style w:type="paragraph" w:customStyle="1" w:styleId="MarginNote">
    <w:name w:val="Margin Note"/>
    <w:basedOn w:val="BodyText"/>
    <w:rsid w:val="00192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A69"/>
    <w:rPr>
      <w:sz w:val="32"/>
    </w:rPr>
  </w:style>
  <w:style w:type="paragraph" w:customStyle="1" w:styleId="HeadingProcedure">
    <w:name w:val="Heading Procedure"/>
    <w:basedOn w:val="HeadingBase"/>
    <w:next w:val="Normal"/>
    <w:rsid w:val="00192A69"/>
    <w:pPr>
      <w:tabs>
        <w:tab w:val="left" w:pos="0"/>
      </w:tabs>
      <w:spacing w:before="120" w:after="60"/>
    </w:pPr>
    <w:rPr>
      <w:i/>
      <w:color w:val="918585"/>
      <w:sz w:val="22"/>
    </w:rPr>
  </w:style>
  <w:style w:type="paragraph" w:customStyle="1" w:styleId="TableBodyText">
    <w:name w:val="Table Body Text"/>
    <w:basedOn w:val="BodyText"/>
    <w:rsid w:val="00192A69"/>
    <w:pPr>
      <w:spacing w:before="60" w:after="60"/>
    </w:pPr>
  </w:style>
  <w:style w:type="paragraph" w:styleId="ListContinue">
    <w:name w:val="List Continue"/>
    <w:basedOn w:val="List"/>
    <w:rsid w:val="00192A69"/>
    <w:pPr>
      <w:ind w:firstLine="0"/>
    </w:pPr>
  </w:style>
  <w:style w:type="paragraph" w:customStyle="1" w:styleId="ListNote">
    <w:name w:val="List Note"/>
    <w:basedOn w:val="List"/>
    <w:rsid w:val="00192A69"/>
    <w:pPr>
      <w:pBdr>
        <w:top w:val="single" w:sz="6" w:space="2" w:color="918585"/>
        <w:bottom w:val="single" w:sz="6" w:space="2" w:color="918585"/>
      </w:pBdr>
      <w:tabs>
        <w:tab w:val="left" w:pos="1021"/>
      </w:tabs>
      <w:ind w:firstLine="0"/>
    </w:pPr>
  </w:style>
  <w:style w:type="paragraph" w:customStyle="1" w:styleId="Warning">
    <w:name w:val="Warning"/>
    <w:basedOn w:val="BodyText"/>
    <w:rsid w:val="00192A69"/>
    <w:pPr>
      <w:shd w:val="clear" w:color="auto" w:fill="D9D9D9"/>
      <w:tabs>
        <w:tab w:val="left" w:pos="992"/>
      </w:tabs>
      <w:ind w:left="119" w:right="119"/>
    </w:pPr>
    <w:rPr>
      <w:sz w:val="20"/>
    </w:rPr>
  </w:style>
  <w:style w:type="paragraph" w:customStyle="1" w:styleId="MarginIcons">
    <w:name w:val="Margin Icons"/>
    <w:basedOn w:val="BodyText"/>
    <w:rsid w:val="00192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A69"/>
    <w:rPr>
      <w:rFonts w:ascii="Courier New" w:hAnsi="Courier New"/>
    </w:rPr>
  </w:style>
  <w:style w:type="paragraph" w:customStyle="1" w:styleId="NoteBullet">
    <w:name w:val="Note Bullet"/>
    <w:basedOn w:val="Note"/>
    <w:rsid w:val="00192A69"/>
    <w:pPr>
      <w:tabs>
        <w:tab w:val="clear" w:pos="680"/>
      </w:tabs>
      <w:spacing w:before="60" w:after="60"/>
    </w:pPr>
  </w:style>
  <w:style w:type="paragraph" w:customStyle="1" w:styleId="SubHeading2">
    <w:name w:val="SubHeading2"/>
    <w:basedOn w:val="HeadingBase"/>
    <w:rsid w:val="00192A69"/>
    <w:pPr>
      <w:spacing w:before="240" w:after="60"/>
    </w:pPr>
    <w:rPr>
      <w:sz w:val="20"/>
    </w:rPr>
  </w:style>
  <w:style w:type="paragraph" w:customStyle="1" w:styleId="SubHeading1">
    <w:name w:val="SubHeading1"/>
    <w:basedOn w:val="HeadingBase"/>
    <w:rsid w:val="00192A69"/>
    <w:pPr>
      <w:spacing w:before="240" w:after="60"/>
    </w:pPr>
    <w:rPr>
      <w:color w:val="918585"/>
      <w:sz w:val="22"/>
    </w:rPr>
  </w:style>
  <w:style w:type="paragraph" w:customStyle="1" w:styleId="SideHeading">
    <w:name w:val="Side Heading"/>
    <w:basedOn w:val="HeadingBase"/>
    <w:rsid w:val="00192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A69"/>
    <w:pPr>
      <w:tabs>
        <w:tab w:val="num" w:pos="360"/>
      </w:tabs>
    </w:pPr>
  </w:style>
  <w:style w:type="paragraph" w:styleId="PlainText">
    <w:name w:val="Plain Text"/>
    <w:basedOn w:val="Normal"/>
    <w:link w:val="PlainTextChar"/>
    <w:rsid w:val="00192A69"/>
    <w:rPr>
      <w:sz w:val="20"/>
    </w:rPr>
  </w:style>
  <w:style w:type="character" w:customStyle="1" w:styleId="PlainTextChar">
    <w:name w:val="Plain Text Char"/>
    <w:basedOn w:val="DefaultParagraphFont"/>
    <w:link w:val="PlainText"/>
    <w:rsid w:val="00192A69"/>
    <w:rPr>
      <w:rFonts w:ascii="Courier New" w:eastAsia="Times New Roman" w:hAnsi="Courier New" w:cs="Times New Roman"/>
      <w:sz w:val="20"/>
      <w:szCs w:val="20"/>
      <w:lang w:eastAsia="en-US"/>
    </w:rPr>
  </w:style>
  <w:style w:type="character" w:customStyle="1" w:styleId="MenuOption">
    <w:name w:val="Menu Option"/>
    <w:basedOn w:val="DefaultParagraphFont"/>
    <w:rsid w:val="00192A69"/>
    <w:rPr>
      <w:b/>
      <w:smallCaps/>
    </w:rPr>
  </w:style>
  <w:style w:type="paragraph" w:customStyle="1" w:styleId="TableListNumber">
    <w:name w:val="Table List Number"/>
    <w:basedOn w:val="ListNumber"/>
    <w:rsid w:val="00192A69"/>
    <w:pPr>
      <w:numPr>
        <w:numId w:val="0"/>
      </w:numPr>
    </w:pPr>
  </w:style>
  <w:style w:type="paragraph" w:styleId="TOC4">
    <w:name w:val="toc 4"/>
    <w:basedOn w:val="TOCBase"/>
    <w:next w:val="Normal"/>
    <w:semiHidden/>
    <w:rsid w:val="00192A69"/>
    <w:pPr>
      <w:tabs>
        <w:tab w:val="right" w:leader="dot" w:pos="9071"/>
      </w:tabs>
      <w:ind w:left="1701"/>
    </w:pPr>
  </w:style>
  <w:style w:type="paragraph" w:customStyle="1" w:styleId="ListAlpha">
    <w:name w:val="List Alpha"/>
    <w:basedOn w:val="List"/>
    <w:rsid w:val="00192A69"/>
    <w:pPr>
      <w:numPr>
        <w:numId w:val="9"/>
      </w:numPr>
    </w:pPr>
  </w:style>
  <w:style w:type="paragraph" w:customStyle="1" w:styleId="ListAlpha2">
    <w:name w:val="List Alpha 2"/>
    <w:basedOn w:val="List2"/>
    <w:rsid w:val="00192A69"/>
    <w:pPr>
      <w:numPr>
        <w:numId w:val="8"/>
      </w:numPr>
    </w:pPr>
  </w:style>
  <w:style w:type="paragraph" w:styleId="List2">
    <w:name w:val="List 2"/>
    <w:basedOn w:val="BodyText"/>
    <w:rsid w:val="00192A69"/>
    <w:pPr>
      <w:tabs>
        <w:tab w:val="left" w:pos="680"/>
      </w:tabs>
      <w:spacing w:before="60" w:after="60"/>
      <w:ind w:left="680" w:hanging="340"/>
    </w:pPr>
  </w:style>
  <w:style w:type="paragraph" w:styleId="List3">
    <w:name w:val="List 3"/>
    <w:basedOn w:val="BodyText"/>
    <w:rsid w:val="00192A69"/>
    <w:pPr>
      <w:tabs>
        <w:tab w:val="left" w:pos="1021"/>
      </w:tabs>
      <w:spacing w:before="60" w:after="60"/>
      <w:ind w:left="1020" w:hanging="340"/>
    </w:pPr>
  </w:style>
  <w:style w:type="paragraph" w:styleId="List4">
    <w:name w:val="List 4"/>
    <w:basedOn w:val="BodyText"/>
    <w:rsid w:val="00192A69"/>
    <w:pPr>
      <w:tabs>
        <w:tab w:val="left" w:pos="1361"/>
      </w:tabs>
      <w:spacing w:before="60" w:after="60"/>
      <w:ind w:left="1361" w:hanging="340"/>
    </w:pPr>
  </w:style>
  <w:style w:type="paragraph" w:styleId="List5">
    <w:name w:val="List 5"/>
    <w:basedOn w:val="BodyText"/>
    <w:rsid w:val="00192A69"/>
    <w:pPr>
      <w:tabs>
        <w:tab w:val="left" w:pos="1701"/>
      </w:tabs>
      <w:spacing w:before="60" w:after="60"/>
      <w:ind w:left="1701" w:hanging="340"/>
    </w:pPr>
  </w:style>
  <w:style w:type="paragraph" w:styleId="ListBullet3">
    <w:name w:val="List Bullet 3"/>
    <w:basedOn w:val="List3"/>
    <w:rsid w:val="00192A69"/>
    <w:pPr>
      <w:numPr>
        <w:numId w:val="14"/>
      </w:numPr>
      <w:tabs>
        <w:tab w:val="clear" w:pos="1021"/>
      </w:tabs>
      <w:ind w:left="1037" w:hanging="357"/>
    </w:pPr>
  </w:style>
  <w:style w:type="paragraph" w:styleId="ListBullet4">
    <w:name w:val="List Bullet 4"/>
    <w:basedOn w:val="List4"/>
    <w:rsid w:val="00192A69"/>
    <w:pPr>
      <w:numPr>
        <w:numId w:val="3"/>
      </w:numPr>
      <w:tabs>
        <w:tab w:val="clear" w:pos="1361"/>
      </w:tabs>
    </w:pPr>
  </w:style>
  <w:style w:type="paragraph" w:styleId="ListBullet5">
    <w:name w:val="List Bullet 5"/>
    <w:basedOn w:val="List5"/>
    <w:rsid w:val="00192A69"/>
    <w:pPr>
      <w:numPr>
        <w:numId w:val="4"/>
      </w:numPr>
    </w:pPr>
  </w:style>
  <w:style w:type="paragraph" w:styleId="ListContinue2">
    <w:name w:val="List Continue 2"/>
    <w:basedOn w:val="List2"/>
    <w:rsid w:val="00192A69"/>
    <w:pPr>
      <w:ind w:firstLine="0"/>
    </w:pPr>
  </w:style>
  <w:style w:type="paragraph" w:styleId="ListContinue3">
    <w:name w:val="List Continue 3"/>
    <w:basedOn w:val="List3"/>
    <w:rsid w:val="00192A69"/>
    <w:pPr>
      <w:ind w:left="1021" w:firstLine="0"/>
    </w:pPr>
  </w:style>
  <w:style w:type="paragraph" w:styleId="ListContinue4">
    <w:name w:val="List Continue 4"/>
    <w:basedOn w:val="List4"/>
    <w:rsid w:val="00192A69"/>
    <w:pPr>
      <w:ind w:firstLine="0"/>
    </w:pPr>
  </w:style>
  <w:style w:type="paragraph" w:styleId="ListContinue5">
    <w:name w:val="List Continue 5"/>
    <w:basedOn w:val="List5"/>
    <w:rsid w:val="00192A69"/>
    <w:pPr>
      <w:ind w:firstLine="0"/>
    </w:pPr>
  </w:style>
  <w:style w:type="paragraph" w:styleId="ListNumber3">
    <w:name w:val="List Number 3"/>
    <w:basedOn w:val="List3"/>
    <w:rsid w:val="00192A69"/>
    <w:pPr>
      <w:numPr>
        <w:numId w:val="5"/>
      </w:numPr>
    </w:pPr>
  </w:style>
  <w:style w:type="paragraph" w:styleId="ListNumber4">
    <w:name w:val="List Number 4"/>
    <w:basedOn w:val="List4"/>
    <w:rsid w:val="00192A69"/>
    <w:pPr>
      <w:numPr>
        <w:numId w:val="6"/>
      </w:numPr>
    </w:pPr>
  </w:style>
  <w:style w:type="paragraph" w:styleId="ListNumber5">
    <w:name w:val="List Number 5"/>
    <w:basedOn w:val="List5"/>
    <w:rsid w:val="00192A69"/>
    <w:pPr>
      <w:numPr>
        <w:numId w:val="7"/>
      </w:numPr>
    </w:pPr>
  </w:style>
  <w:style w:type="paragraph" w:styleId="BlockText">
    <w:name w:val="Block Text"/>
    <w:basedOn w:val="Normal"/>
    <w:rsid w:val="00192A69"/>
    <w:pPr>
      <w:spacing w:after="120"/>
      <w:ind w:left="1440" w:right="1440"/>
    </w:pPr>
  </w:style>
  <w:style w:type="character" w:customStyle="1" w:styleId="Subscript">
    <w:name w:val="Subscript"/>
    <w:basedOn w:val="DefaultParagraphFont"/>
    <w:rsid w:val="00192A69"/>
    <w:rPr>
      <w:sz w:val="16"/>
      <w:vertAlign w:val="subscript"/>
    </w:rPr>
  </w:style>
  <w:style w:type="character" w:customStyle="1" w:styleId="Superscript">
    <w:name w:val="Superscript"/>
    <w:basedOn w:val="DefaultParagraphFont"/>
    <w:rsid w:val="00192A69"/>
    <w:rPr>
      <w:sz w:val="16"/>
      <w:vertAlign w:val="superscript"/>
    </w:rPr>
  </w:style>
  <w:style w:type="character" w:customStyle="1" w:styleId="Symbols">
    <w:name w:val="Symbols"/>
    <w:basedOn w:val="DefaultParagraphFont"/>
    <w:rsid w:val="00192A69"/>
    <w:rPr>
      <w:rFonts w:ascii="Symbol" w:hAnsi="Symbol"/>
    </w:rPr>
  </w:style>
  <w:style w:type="character" w:customStyle="1" w:styleId="MenuOptions">
    <w:name w:val="Menu Options"/>
    <w:basedOn w:val="DefaultParagraphFont"/>
    <w:rsid w:val="00192A69"/>
    <w:rPr>
      <w:rFonts w:ascii="Arial Narrow" w:hAnsi="Arial Narrow"/>
      <w:smallCaps/>
    </w:rPr>
  </w:style>
  <w:style w:type="character" w:customStyle="1" w:styleId="Buttons">
    <w:name w:val="Buttons"/>
    <w:basedOn w:val="DefaultParagraphFont"/>
    <w:rsid w:val="00192A69"/>
    <w:rPr>
      <w:b/>
    </w:rPr>
  </w:style>
  <w:style w:type="character" w:customStyle="1" w:styleId="Underlined">
    <w:name w:val="Underlined"/>
    <w:basedOn w:val="DefaultParagraphFont"/>
    <w:rsid w:val="00192A69"/>
    <w:rPr>
      <w:u w:val="single"/>
    </w:rPr>
  </w:style>
  <w:style w:type="paragraph" w:customStyle="1" w:styleId="TableBodyTextRight">
    <w:name w:val="Table Body Text Right"/>
    <w:basedOn w:val="TableBodyText"/>
    <w:rsid w:val="00192A69"/>
    <w:pPr>
      <w:widowControl w:val="0"/>
      <w:autoSpaceDE w:val="0"/>
      <w:autoSpaceDN w:val="0"/>
      <w:adjustRightInd w:val="0"/>
      <w:jc w:val="right"/>
    </w:pPr>
    <w:rPr>
      <w:rFonts w:cs="Arial"/>
      <w:szCs w:val="18"/>
    </w:rPr>
  </w:style>
  <w:style w:type="paragraph" w:customStyle="1" w:styleId="CopyrightText">
    <w:name w:val="Copyright Text"/>
    <w:basedOn w:val="BodyText"/>
    <w:rsid w:val="00192A69"/>
    <w:rPr>
      <w:sz w:val="18"/>
    </w:rPr>
  </w:style>
  <w:style w:type="paragraph" w:customStyle="1" w:styleId="BodySmallRight">
    <w:name w:val="Body Small Right"/>
    <w:basedOn w:val="BodyTextRight"/>
    <w:rsid w:val="00192A69"/>
    <w:rPr>
      <w:sz w:val="18"/>
      <w:szCs w:val="18"/>
    </w:rPr>
  </w:style>
  <w:style w:type="paragraph" w:customStyle="1" w:styleId="MarginEdition">
    <w:name w:val="Margin Edition"/>
    <w:basedOn w:val="MarginNote"/>
    <w:rsid w:val="00192A69"/>
    <w:pPr>
      <w:spacing w:before="0" w:after="0"/>
    </w:pPr>
    <w:rPr>
      <w:rFonts w:ascii="Times New Roman" w:hAnsi="Times New Roman"/>
      <w:color w:val="999999"/>
    </w:rPr>
  </w:style>
  <w:style w:type="paragraph" w:customStyle="1" w:styleId="Spacer">
    <w:name w:val="Spacer"/>
    <w:basedOn w:val="Normal"/>
    <w:rsid w:val="00192A69"/>
    <w:rPr>
      <w:sz w:val="2"/>
      <w:szCs w:val="2"/>
    </w:rPr>
  </w:style>
  <w:style w:type="character" w:customStyle="1" w:styleId="Small">
    <w:name w:val="Small"/>
    <w:basedOn w:val="DefaultParagraphFont"/>
    <w:rsid w:val="00192A69"/>
    <w:rPr>
      <w:sz w:val="16"/>
    </w:rPr>
  </w:style>
  <w:style w:type="paragraph" w:customStyle="1" w:styleId="WideTable">
    <w:name w:val="Wide Table"/>
    <w:basedOn w:val="Normal"/>
    <w:rsid w:val="00192A69"/>
    <w:pPr>
      <w:ind w:left="-1418"/>
    </w:pPr>
    <w:rPr>
      <w:sz w:val="2"/>
      <w:szCs w:val="2"/>
    </w:rPr>
  </w:style>
  <w:style w:type="character" w:styleId="PageNumber">
    <w:name w:val="page number"/>
    <w:basedOn w:val="DefaultParagraphFont"/>
    <w:rsid w:val="00192A69"/>
  </w:style>
  <w:style w:type="paragraph" w:styleId="Quote">
    <w:name w:val="Quote"/>
    <w:basedOn w:val="Heading1"/>
    <w:link w:val="QuoteChar"/>
    <w:qFormat/>
    <w:rsid w:val="00192A69"/>
    <w:rPr>
      <w:b w:val="0"/>
      <w:sz w:val="72"/>
      <w:szCs w:val="72"/>
      <w:lang w:val="en-NZ"/>
    </w:rPr>
  </w:style>
  <w:style w:type="character" w:customStyle="1" w:styleId="QuoteChar">
    <w:name w:val="Quote Char"/>
    <w:basedOn w:val="DefaultParagraphFont"/>
    <w:link w:val="Quote"/>
    <w:rsid w:val="00192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A69"/>
    <w:pPr>
      <w:pageBreakBefore/>
    </w:pPr>
  </w:style>
  <w:style w:type="paragraph" w:customStyle="1" w:styleId="Border">
    <w:name w:val="Border"/>
    <w:basedOn w:val="Normal"/>
    <w:qFormat/>
    <w:rsid w:val="00192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A69"/>
    <w:rPr>
      <w:b/>
      <w:bCs/>
      <w:i/>
      <w:iCs/>
      <w:color w:val="auto"/>
    </w:rPr>
  </w:style>
  <w:style w:type="paragraph" w:styleId="IntenseQuote">
    <w:name w:val="Intense Quote"/>
    <w:basedOn w:val="Normal"/>
    <w:next w:val="Normal"/>
    <w:link w:val="IntenseQuoteChar"/>
    <w:uiPriority w:val="30"/>
    <w:qFormat/>
    <w:rsid w:val="00192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A69"/>
    <w:rPr>
      <w:smallCaps/>
      <w:color w:val="auto"/>
      <w:u w:val="single"/>
    </w:rPr>
  </w:style>
  <w:style w:type="character" w:styleId="IntenseReference">
    <w:name w:val="Intense Reference"/>
    <w:basedOn w:val="DefaultParagraphFont"/>
    <w:uiPriority w:val="32"/>
    <w:qFormat/>
    <w:rsid w:val="00192A69"/>
    <w:rPr>
      <w:b/>
      <w:bCs/>
      <w:smallCaps/>
      <w:color w:val="auto"/>
      <w:spacing w:val="5"/>
      <w:u w:val="single"/>
    </w:rPr>
  </w:style>
  <w:style w:type="paragraph" w:customStyle="1" w:styleId="2ColumnHeading">
    <w:name w:val="2Column Heading"/>
    <w:basedOn w:val="BodyText"/>
    <w:qFormat/>
    <w:rsid w:val="00192A69"/>
    <w:pPr>
      <w:spacing w:after="60"/>
      <w:ind w:left="-2268"/>
    </w:pPr>
    <w:rPr>
      <w:b/>
    </w:rPr>
  </w:style>
  <w:style w:type="paragraph" w:customStyle="1" w:styleId="Heading1TOC">
    <w:name w:val="Heading1 TOC"/>
    <w:basedOn w:val="Normal"/>
    <w:qFormat/>
    <w:rsid w:val="00192A69"/>
    <w:pPr>
      <w:spacing w:before="240" w:after="120"/>
    </w:pPr>
    <w:rPr>
      <w:rFonts w:ascii="Times New Roman" w:hAnsi="Times New Roman"/>
      <w:b/>
      <w:sz w:val="32"/>
    </w:rPr>
  </w:style>
  <w:style w:type="paragraph" w:customStyle="1" w:styleId="Heading2TOC">
    <w:name w:val="Heading2 TOC"/>
    <w:basedOn w:val="Normal"/>
    <w:qFormat/>
    <w:rsid w:val="00192A69"/>
    <w:pPr>
      <w:spacing w:before="240" w:after="60"/>
    </w:pPr>
    <w:rPr>
      <w:rFonts w:ascii="Times New Roman" w:hAnsi="Times New Roman"/>
      <w:b/>
      <w:sz w:val="28"/>
    </w:rPr>
  </w:style>
  <w:style w:type="character" w:customStyle="1" w:styleId="Underline">
    <w:name w:val="Underline"/>
    <w:basedOn w:val="DefaultParagraphFont"/>
    <w:qFormat/>
    <w:rsid w:val="00192A69"/>
    <w:rPr>
      <w:u w:val="single"/>
    </w:rPr>
  </w:style>
  <w:style w:type="character" w:customStyle="1" w:styleId="BoldandItalics">
    <w:name w:val="Bold and Italics"/>
    <w:qFormat/>
    <w:rsid w:val="00192A69"/>
    <w:rPr>
      <w:b/>
      <w:i/>
      <w:u w:val="none"/>
    </w:rPr>
  </w:style>
  <w:style w:type="paragraph" w:styleId="BalloonText">
    <w:name w:val="Balloon Text"/>
    <w:basedOn w:val="Normal"/>
    <w:link w:val="BalloonTextChar"/>
    <w:rsid w:val="00192A69"/>
    <w:rPr>
      <w:rFonts w:ascii="Tahoma" w:hAnsi="Tahoma" w:cs="Tahoma"/>
      <w:sz w:val="16"/>
      <w:szCs w:val="16"/>
    </w:rPr>
  </w:style>
  <w:style w:type="character" w:customStyle="1" w:styleId="BalloonTextChar">
    <w:name w:val="Balloon Text Char"/>
    <w:basedOn w:val="DefaultParagraphFont"/>
    <w:link w:val="BalloonText"/>
    <w:rsid w:val="00192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A69"/>
    <w:rPr>
      <w:b/>
      <w:color w:val="660033"/>
      <w:spacing w:val="0"/>
    </w:rPr>
  </w:style>
  <w:style w:type="paragraph" w:customStyle="1" w:styleId="Nameditemlist">
    <w:name w:val="Named item list"/>
    <w:basedOn w:val="BodyText"/>
    <w:qFormat/>
    <w:rsid w:val="00192A69"/>
    <w:pPr>
      <w:tabs>
        <w:tab w:val="left" w:pos="2835"/>
      </w:tabs>
      <w:ind w:left="2835" w:hanging="2835"/>
    </w:pPr>
  </w:style>
  <w:style w:type="paragraph" w:customStyle="1" w:styleId="BodyTextnopadding">
    <w:name w:val="Body Text no padding"/>
    <w:basedOn w:val="BodyText"/>
    <w:qFormat/>
    <w:rsid w:val="00192A69"/>
    <w:pPr>
      <w:spacing w:before="0" w:after="0"/>
    </w:pPr>
  </w:style>
  <w:style w:type="paragraph" w:customStyle="1" w:styleId="BodyTextBold">
    <w:name w:val="Body Text Bold"/>
    <w:basedOn w:val="BodyText"/>
    <w:qFormat/>
    <w:rsid w:val="00192A69"/>
    <w:rPr>
      <w:b/>
    </w:rPr>
  </w:style>
  <w:style w:type="character" w:styleId="Hyperlink">
    <w:name w:val="Hyperlink"/>
    <w:basedOn w:val="DefaultParagraphFont"/>
    <w:uiPriority w:val="99"/>
    <w:unhideWhenUsed/>
    <w:rsid w:val="00A926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1294</Words>
  <Characters>9208</Characters>
  <Application>Microsoft Office Word</Application>
  <DocSecurity>0</DocSecurity>
  <Lines>613</Lines>
  <Paragraphs>375</Paragraphs>
  <ScaleCrop>false</ScaleCrop>
  <Company>Author-it Software Corporation Ltd.</Company>
  <LinksUpToDate>false</LinksUpToDate>
  <CharactersWithSpaces>10127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MEM10007 Modify control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2023-02-03T06:21:00Z</dcterms:created>
  <dcterms:modified xsi:type="dcterms:W3CDTF">2023-02-03T06:21:00Z</dcterms:modified>
</cp:coreProperties>
</file>