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337" w:rsidP="00296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MEM09229 Read and interpret technical engineering drawings</w:t>
      </w:r>
      <w:r>
        <w:fldChar w:fldCharType="end"/>
      </w:r>
    </w:p>
    <w:p w:rsidR="00296337" w:rsidP="00296337">
      <w:pPr>
        <w:pStyle w:val="Version"/>
        <w:sectPr w:rsidSect="00147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C1A" w:rsidP="00147C1A">
      <w:pPr>
        <w:pStyle w:val="SuperHeading"/>
      </w:pPr>
      <w:r w:rsidRPr="00147C1A">
        <w:t>Assessment Requirements for MEM09229 Read and interpret technical engineering drawings</w:t>
      </w:r>
    </w:p>
    <w:p w:rsidR="00000000" w:rsidRPr="00147C1A" w:rsidP="00147C1A">
      <w:pPr>
        <w:pStyle w:val="Heading1"/>
      </w:pPr>
      <w:bookmarkStart w:id="1" w:name="O_1084816"/>
      <w:bookmarkEnd w:id="1"/>
      <w:r w:rsidRPr="00147C1A">
        <w:t>Modification History</w:t>
      </w:r>
    </w:p>
    <w:p w:rsidR="00000000" w:rsidRPr="00147C1A" w:rsidP="00296337">
      <w:pPr>
        <w:pStyle w:val="BodyText"/>
      </w:pPr>
      <w:r w:rsidRPr="00147C1A">
        <w:t>Release 1. New unit.</w:t>
      </w:r>
    </w:p>
    <w:p w:rsidR="00000000" w:rsidRPr="00147C1A" w:rsidP="00147C1A">
      <w:pPr>
        <w:pStyle w:val="Heading1"/>
      </w:pPr>
      <w:bookmarkStart w:id="2" w:name="O_1084817"/>
      <w:bookmarkEnd w:id="2"/>
      <w:r w:rsidRPr="00147C1A">
        <w:t>Performance Evidence</w:t>
      </w:r>
    </w:p>
    <w:p w:rsidR="00000000" w:rsidRPr="00147C1A" w:rsidP="00296337">
      <w:pPr>
        <w:pStyle w:val="BodyText"/>
      </w:pPr>
      <w:r w:rsidRPr="00147C1A">
        <w:t>Evidence required to demonstrate competence in this unit must be relevant to and satisfy the requirements of the elements and performance criteria and include:</w:t>
      </w:r>
    </w:p>
    <w:p w:rsidR="00000000" w:rsidRPr="00147C1A" w:rsidP="00147C1A">
      <w:pPr>
        <w:pStyle w:val="ListBullet"/>
      </w:pPr>
      <w:r w:rsidRPr="00147C1A">
        <w:t>following work instructions, standard operating procedures (SOPs) and safe work practices</w:t>
      </w:r>
    </w:p>
    <w:p w:rsidR="00000000" w:rsidRPr="00147C1A" w:rsidP="00147C1A">
      <w:pPr>
        <w:pStyle w:val="ListBullet"/>
      </w:pPr>
      <w:r w:rsidRPr="00147C1A">
        <w:t>selec</w:t>
      </w:r>
      <w:r w:rsidRPr="00147C1A">
        <w:t>ting, checking and validating technical engineering drawings against job requirements or equipment</w:t>
      </w:r>
    </w:p>
    <w:p w:rsidR="00000000" w:rsidRPr="00147C1A" w:rsidP="00147C1A">
      <w:pPr>
        <w:pStyle w:val="ListBullet"/>
      </w:pPr>
      <w:r w:rsidRPr="00147C1A">
        <w:t>reading and interpreting technical engineering drawings through recognition of components, assemblies, objects and symbols on at least two occasions</w:t>
      </w:r>
    </w:p>
    <w:p w:rsidR="00000000" w:rsidRPr="00147C1A" w:rsidP="00147C1A">
      <w:pPr>
        <w:pStyle w:val="ListBullet"/>
      </w:pPr>
      <w:r w:rsidRPr="00147C1A">
        <w:t>identify</w:t>
      </w:r>
      <w:r w:rsidRPr="00147C1A">
        <w:t>ing units of measurement and dimensions on at least two occasions</w:t>
      </w:r>
    </w:p>
    <w:p w:rsidR="00000000" w:rsidRPr="00147C1A" w:rsidP="00147C1A">
      <w:pPr>
        <w:pStyle w:val="ListBullet"/>
      </w:pPr>
      <w:r w:rsidRPr="00147C1A">
        <w:t>interpreting drawing conventions appropriate to technical engineering disciplines on at least two occasions</w:t>
      </w:r>
    </w:p>
    <w:p w:rsidR="00000000" w:rsidRPr="00147C1A" w:rsidP="00147C1A">
      <w:pPr>
        <w:pStyle w:val="ListBullet"/>
      </w:pPr>
      <w:r w:rsidRPr="00147C1A">
        <w:t>preparing materials and components lists.</w:t>
      </w:r>
    </w:p>
    <w:p w:rsidR="00000000" w:rsidRPr="00296337" w:rsidP="00296337">
      <w:pPr>
        <w:pStyle w:val="BodyText"/>
        <w:rPr>
          <w:i/>
        </w:rPr>
      </w:pPr>
      <w:r w:rsidRPr="00296337">
        <w:rPr>
          <w:rStyle w:val="Emphasis"/>
        </w:rPr>
        <w:t>Note: Where a volume and/or frequency is</w:t>
      </w:r>
      <w:r w:rsidRPr="00296337">
        <w:rPr>
          <w:rStyle w:val="Emphasis"/>
        </w:rPr>
        <w:t xml:space="preserve"> not specified, demonstration must be provided at least once.</w:t>
      </w:r>
    </w:p>
    <w:p w:rsidR="00000000" w:rsidRPr="00147C1A" w:rsidP="00147C1A">
      <w:pPr>
        <w:pStyle w:val="Heading1"/>
      </w:pPr>
      <w:bookmarkStart w:id="3" w:name="O_1084818"/>
      <w:bookmarkEnd w:id="3"/>
      <w:r w:rsidRPr="00147C1A">
        <w:t>Knowledge Evidence</w:t>
      </w:r>
    </w:p>
    <w:p w:rsidR="00000000" w:rsidRPr="00147C1A" w:rsidP="00296337">
      <w:pPr>
        <w:pStyle w:val="BodyText"/>
      </w:pPr>
      <w:r w:rsidRPr="00147C1A">
        <w:t>Evidence required to demonstrate the required knowledge for this unit must be relevant to and satisfy the requirements of the elements and performance crite</w:t>
      </w:r>
      <w:r w:rsidRPr="00147C1A">
        <w:t>ria and include knowledge of:</w:t>
      </w:r>
    </w:p>
    <w:p w:rsidR="00000000" w:rsidRPr="00147C1A" w:rsidP="00147C1A">
      <w:pPr>
        <w:pStyle w:val="ListBullet"/>
      </w:pPr>
      <w:r w:rsidRPr="00147C1A">
        <w:t>safe work practices and procedures</w:t>
      </w:r>
    </w:p>
    <w:p w:rsidR="00000000" w:rsidRPr="00147C1A" w:rsidP="00147C1A">
      <w:pPr>
        <w:pStyle w:val="ListBullet"/>
      </w:pPr>
      <w:r w:rsidRPr="00147C1A">
        <w:t>application of AS 1100.101 Technical drawing – General principles, other relevant Australian and international standards, or their equivalents from other technical engineering disciplines as</w:t>
      </w:r>
      <w:r w:rsidRPr="00147C1A">
        <w:t xml:space="preserve"> relevant to the workplace</w:t>
      </w:r>
    </w:p>
    <w:p w:rsidR="00000000" w:rsidRPr="00147C1A" w:rsidP="00147C1A">
      <w:pPr>
        <w:pStyle w:val="ListBullet"/>
      </w:pPr>
      <w:r w:rsidRPr="00147C1A">
        <w:t>conventions used in technical engineering drawings</w:t>
      </w:r>
    </w:p>
    <w:p w:rsidR="00000000" w:rsidRPr="00147C1A" w:rsidP="00147C1A">
      <w:pPr>
        <w:pStyle w:val="ListBullet"/>
      </w:pPr>
      <w:r w:rsidRPr="00147C1A">
        <w:t>relationship between views in technical drawings</w:t>
      </w:r>
    </w:p>
    <w:p w:rsidR="00000000" w:rsidRPr="00147C1A" w:rsidP="00147C1A">
      <w:pPr>
        <w:pStyle w:val="ListBullet"/>
      </w:pPr>
      <w:r w:rsidRPr="00147C1A">
        <w:t>instructions contained in technical engineering drawings</w:t>
      </w:r>
    </w:p>
    <w:p w:rsidR="00000000" w:rsidRPr="00147C1A" w:rsidP="00147C1A">
      <w:pPr>
        <w:pStyle w:val="ListBullet"/>
      </w:pPr>
      <w:r w:rsidRPr="00147C1A">
        <w:t>materials from which drawing objects are made, their features and manufa</w:t>
      </w:r>
      <w:r w:rsidRPr="00147C1A">
        <w:t>cturing and assembly requirements.</w:t>
      </w:r>
    </w:p>
    <w:p w:rsidR="00000000" w:rsidRPr="00147C1A" w:rsidP="00147C1A">
      <w:pPr>
        <w:pStyle w:val="AllowPageBreak"/>
      </w:pPr>
    </w:p>
    <w:p w:rsidR="00000000" w:rsidRPr="00147C1A" w:rsidP="00147C1A">
      <w:pPr>
        <w:pStyle w:val="Heading1"/>
      </w:pPr>
      <w:bookmarkStart w:id="4" w:name="O_1084819"/>
      <w:bookmarkEnd w:id="4"/>
      <w:r w:rsidRPr="00147C1A">
        <w:t>Assessment Conditions</w:t>
      </w:r>
    </w:p>
    <w:p w:rsidR="00000000" w:rsidRPr="00147C1A" w:rsidP="00147C1A">
      <w:pPr>
        <w:pStyle w:val="ListBullet"/>
      </w:pPr>
      <w:r w:rsidRPr="00147C1A">
        <w:t>Assessors must:</w:t>
      </w:r>
    </w:p>
    <w:p w:rsidR="00000000" w:rsidRPr="00147C1A" w:rsidP="00147C1A">
      <w:pPr>
        <w:pStyle w:val="ListBullet2"/>
      </w:pPr>
      <w:r w:rsidRPr="00147C1A">
        <w:t xml:space="preserve">have vocational competency in reading and interpreting technical engineering drawings at least to </w:t>
      </w:r>
      <w:r w:rsidRPr="00147C1A">
        <w:t>the level being assessed with relevant industry knowledge and experience</w:t>
      </w:r>
    </w:p>
    <w:p w:rsidR="00000000" w:rsidRPr="00147C1A" w:rsidP="00147C1A">
      <w:pPr>
        <w:pStyle w:val="ListBullet2"/>
      </w:pPr>
      <w:r w:rsidRPr="00147C1A">
        <w:t>satisfy the assessor requirements in the Standards for Registered Training Organisations 2015 or its replacement and comply with the National Vocational Education and Training Regulat</w:t>
      </w:r>
      <w:r w:rsidRPr="00147C1A">
        <w:t>or Act 2011, its replacement or equivalent legislation covering VET regulation in a non-referring state/territory as the case requires.</w:t>
      </w:r>
    </w:p>
    <w:p w:rsidR="00000000" w:rsidRPr="00147C1A" w:rsidP="00147C1A">
      <w:pPr>
        <w:pStyle w:val="ListBullet"/>
      </w:pPr>
      <w:r w:rsidRPr="00147C1A">
        <w:t>Where possible, assessment must occur in operational workplace situations. Where this is not possible or where personal</w:t>
      </w:r>
      <w:r w:rsidRPr="00147C1A">
        <w:t xml:space="preserve"> safety or environmental damage are limiting factors, assessment must occur in a sufficiently rigorous simulated environment that reflects realistic operational workplace conditions. This must cover all aspects of workplace performance, including environme</w:t>
      </w:r>
      <w:r w:rsidRPr="00147C1A">
        <w:t>nt, task skills, task management skills, contingency management skills and job role environment skills.</w:t>
      </w:r>
    </w:p>
    <w:p w:rsidR="00000000" w:rsidRPr="00147C1A" w:rsidP="00147C1A">
      <w:pPr>
        <w:pStyle w:val="ListBullet"/>
      </w:pPr>
      <w:r w:rsidRPr="00147C1A">
        <w:t>Conditions for assessment must include access to all tools, equipment, materials and documentation required, including relevant workplace procedures, pr</w:t>
      </w:r>
      <w:r w:rsidRPr="00147C1A">
        <w:t>oduct and manufacturing specifications.</w:t>
      </w:r>
    </w:p>
    <w:p w:rsidR="00000000" w:rsidRPr="00147C1A" w:rsidP="00147C1A">
      <w:pPr>
        <w:pStyle w:val="ListBullet"/>
      </w:pPr>
      <w:r w:rsidRPr="00147C1A">
        <w:t>Assessment processes and techniques must be appropriate to the language, literacy and numeracy requirements of the work being performed and the needs of the candidate.</w:t>
      </w:r>
    </w:p>
    <w:p w:rsidR="00000000" w:rsidRPr="00147C1A" w:rsidP="00147C1A">
      <w:pPr>
        <w:pStyle w:val="AllowPageBreak"/>
      </w:pPr>
    </w:p>
    <w:p w:rsidR="00000000" w:rsidRPr="00147C1A" w:rsidP="00147C1A">
      <w:pPr>
        <w:pStyle w:val="Heading1"/>
      </w:pPr>
      <w:bookmarkStart w:id="5" w:name="O_1084822"/>
      <w:bookmarkEnd w:id="5"/>
      <w:r w:rsidRPr="00147C1A">
        <w:t>Links</w:t>
      </w:r>
    </w:p>
    <w:p w:rsidR="00000000" w:rsidRPr="00147C1A" w:rsidP="00296337">
      <w:pPr>
        <w:pStyle w:val="BodyText"/>
      </w:pPr>
      <w:r w:rsidRPr="00147C1A">
        <w:t>Companion Volume implem</w:t>
      </w:r>
      <w:r w:rsidRPr="00147C1A">
        <w:t xml:space="preserve">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3C5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7C1A" w:rsidP="00147C1A"/>
    <w:sectPr w:rsidSect="00147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A" w:rsidRPr="00296337" w:rsidP="00296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337" w:rsidP="00147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337" w:rsidP="00147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6337" w:rsidP="00147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C1A" w:rsidRPr="00296337" w:rsidP="00296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337" w:rsidRPr="002D2AF8" w:rsidP="00147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MEM09229 Read and interpret technical engineering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6337" w:rsidP="00147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48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66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A1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C1A"/>
  </w:style>
  <w:style w:type="character" w:customStyle="1" w:styleId="Heading1Char">
    <w:name w:val="Heading 1 Char"/>
    <w:basedOn w:val="DefaultParagraphFont"/>
    <w:link w:val="Heading1"/>
    <w:rsid w:val="00147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C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7C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7C1A"/>
    <w:rPr>
      <w:i/>
    </w:rPr>
  </w:style>
  <w:style w:type="paragraph" w:customStyle="1" w:styleId="SuperHeading">
    <w:name w:val="SuperHeading"/>
    <w:basedOn w:val="Normal"/>
    <w:rsid w:val="00147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C1A"/>
    <w:rPr>
      <w:b/>
      <w:spacing w:val="0"/>
    </w:rPr>
  </w:style>
  <w:style w:type="paragraph" w:customStyle="1" w:styleId="SuperTitle">
    <w:name w:val="SuperTitle"/>
    <w:basedOn w:val="Title"/>
    <w:rsid w:val="00147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C1A"/>
  </w:style>
  <w:style w:type="paragraph" w:styleId="TableofFigures">
    <w:name w:val="table of figures"/>
    <w:basedOn w:val="Normal"/>
    <w:next w:val="Normal"/>
    <w:semiHidden/>
    <w:rsid w:val="00147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C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C1A"/>
    <w:rPr>
      <w:rFonts w:ascii="Wingdings" w:hAnsi="Wingdings"/>
    </w:rPr>
  </w:style>
  <w:style w:type="paragraph" w:customStyle="1" w:styleId="TableHeading">
    <w:name w:val="Table Heading"/>
    <w:basedOn w:val="HeadingBase"/>
    <w:rsid w:val="00147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C1A"/>
    <w:rPr>
      <w:color w:val="0033CC"/>
      <w:u w:val="none"/>
    </w:rPr>
  </w:style>
  <w:style w:type="paragraph" w:customStyle="1" w:styleId="BodyTextRight">
    <w:name w:val="Body Text Right"/>
    <w:basedOn w:val="BodyText"/>
    <w:rsid w:val="00147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C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C1A"/>
    <w:rPr>
      <w:sz w:val="32"/>
    </w:rPr>
  </w:style>
  <w:style w:type="paragraph" w:customStyle="1" w:styleId="HeadingProcedure">
    <w:name w:val="Heading Procedure"/>
    <w:basedOn w:val="HeadingBase"/>
    <w:next w:val="Normal"/>
    <w:rsid w:val="00147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C1A"/>
    <w:pPr>
      <w:spacing w:before="60" w:after="60"/>
    </w:pPr>
  </w:style>
  <w:style w:type="paragraph" w:styleId="ListContinue">
    <w:name w:val="List Continue"/>
    <w:basedOn w:val="List"/>
    <w:rsid w:val="00147C1A"/>
    <w:pPr>
      <w:ind w:firstLine="0"/>
    </w:pPr>
  </w:style>
  <w:style w:type="paragraph" w:customStyle="1" w:styleId="ListNote">
    <w:name w:val="List Note"/>
    <w:basedOn w:val="List"/>
    <w:rsid w:val="00147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C1A"/>
    <w:rPr>
      <w:rFonts w:ascii="Courier New" w:hAnsi="Courier New"/>
    </w:rPr>
  </w:style>
  <w:style w:type="paragraph" w:customStyle="1" w:styleId="NoteBullet">
    <w:name w:val="Note Bullet"/>
    <w:basedOn w:val="Note"/>
    <w:rsid w:val="00147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C1A"/>
    <w:rPr>
      <w:b/>
      <w:smallCaps/>
    </w:rPr>
  </w:style>
  <w:style w:type="paragraph" w:customStyle="1" w:styleId="TableListNumber">
    <w:name w:val="Table List Number"/>
    <w:basedOn w:val="ListNumber"/>
    <w:rsid w:val="00147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C1A"/>
    <w:pPr>
      <w:numPr>
        <w:numId w:val="9"/>
      </w:numPr>
    </w:pPr>
  </w:style>
  <w:style w:type="paragraph" w:customStyle="1" w:styleId="ListAlpha2">
    <w:name w:val="List Alpha 2"/>
    <w:basedOn w:val="List2"/>
    <w:rsid w:val="00147C1A"/>
    <w:pPr>
      <w:numPr>
        <w:numId w:val="8"/>
      </w:numPr>
    </w:pPr>
  </w:style>
  <w:style w:type="paragraph" w:styleId="List2">
    <w:name w:val="List 2"/>
    <w:basedOn w:val="BodyText"/>
    <w:rsid w:val="00147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C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C1A"/>
    <w:pPr>
      <w:numPr>
        <w:numId w:val="4"/>
      </w:numPr>
    </w:pPr>
  </w:style>
  <w:style w:type="paragraph" w:styleId="ListContinue2">
    <w:name w:val="List Continue 2"/>
    <w:basedOn w:val="List2"/>
    <w:rsid w:val="00147C1A"/>
    <w:pPr>
      <w:ind w:firstLine="0"/>
    </w:pPr>
  </w:style>
  <w:style w:type="paragraph" w:styleId="ListContinue3">
    <w:name w:val="List Continue 3"/>
    <w:basedOn w:val="List3"/>
    <w:rsid w:val="00147C1A"/>
    <w:pPr>
      <w:ind w:left="1021" w:firstLine="0"/>
    </w:pPr>
  </w:style>
  <w:style w:type="paragraph" w:styleId="ListContinue4">
    <w:name w:val="List Continue 4"/>
    <w:basedOn w:val="List4"/>
    <w:rsid w:val="00147C1A"/>
    <w:pPr>
      <w:ind w:firstLine="0"/>
    </w:pPr>
  </w:style>
  <w:style w:type="paragraph" w:styleId="ListContinue5">
    <w:name w:val="List Continue 5"/>
    <w:basedOn w:val="List5"/>
    <w:rsid w:val="00147C1A"/>
    <w:pPr>
      <w:ind w:firstLine="0"/>
    </w:pPr>
  </w:style>
  <w:style w:type="paragraph" w:styleId="ListNumber3">
    <w:name w:val="List Number 3"/>
    <w:basedOn w:val="List3"/>
    <w:rsid w:val="00147C1A"/>
    <w:pPr>
      <w:numPr>
        <w:numId w:val="5"/>
      </w:numPr>
    </w:pPr>
  </w:style>
  <w:style w:type="paragraph" w:styleId="ListNumber4">
    <w:name w:val="List Number 4"/>
    <w:basedOn w:val="List4"/>
    <w:rsid w:val="00147C1A"/>
    <w:pPr>
      <w:numPr>
        <w:numId w:val="6"/>
      </w:numPr>
    </w:pPr>
  </w:style>
  <w:style w:type="paragraph" w:styleId="ListNumber5">
    <w:name w:val="List Number 5"/>
    <w:basedOn w:val="List5"/>
    <w:rsid w:val="00147C1A"/>
    <w:pPr>
      <w:numPr>
        <w:numId w:val="7"/>
      </w:numPr>
    </w:pPr>
  </w:style>
  <w:style w:type="paragraph" w:styleId="BlockText">
    <w:name w:val="Block Text"/>
    <w:basedOn w:val="Normal"/>
    <w:rsid w:val="00147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C1A"/>
    <w:rPr>
      <w:sz w:val="16"/>
      <w:vertAlign w:val="superscript"/>
    </w:rPr>
  </w:style>
  <w:style w:type="character" w:customStyle="1" w:styleId="Symbols">
    <w:name w:val="Symbols"/>
    <w:basedOn w:val="DefaultParagraphFont"/>
    <w:rsid w:val="00147C1A"/>
    <w:rPr>
      <w:rFonts w:ascii="Symbol" w:hAnsi="Symbol"/>
    </w:rPr>
  </w:style>
  <w:style w:type="character" w:customStyle="1" w:styleId="MenuOptions">
    <w:name w:val="Menu Options"/>
    <w:basedOn w:val="DefaultParagraphFont"/>
    <w:rsid w:val="00147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C1A"/>
    <w:rPr>
      <w:b/>
    </w:rPr>
  </w:style>
  <w:style w:type="character" w:customStyle="1" w:styleId="Underlined">
    <w:name w:val="Underlined"/>
    <w:basedOn w:val="DefaultParagraphFont"/>
    <w:rsid w:val="00147C1A"/>
    <w:rPr>
      <w:u w:val="single"/>
    </w:rPr>
  </w:style>
  <w:style w:type="paragraph" w:customStyle="1" w:styleId="TableBodyTextRight">
    <w:name w:val="Table Body Text Right"/>
    <w:basedOn w:val="TableBodyText"/>
    <w:rsid w:val="00147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C1A"/>
    <w:rPr>
      <w:sz w:val="18"/>
    </w:rPr>
  </w:style>
  <w:style w:type="paragraph" w:customStyle="1" w:styleId="BodySmallRight">
    <w:name w:val="Body Small Right"/>
    <w:basedOn w:val="BodyTextRight"/>
    <w:rsid w:val="00147C1A"/>
    <w:rPr>
      <w:sz w:val="18"/>
      <w:szCs w:val="18"/>
    </w:rPr>
  </w:style>
  <w:style w:type="paragraph" w:customStyle="1" w:styleId="MarginEdition">
    <w:name w:val="Margin Edition"/>
    <w:basedOn w:val="MarginNote"/>
    <w:rsid w:val="00147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C1A"/>
    <w:rPr>
      <w:sz w:val="2"/>
      <w:szCs w:val="2"/>
    </w:rPr>
  </w:style>
  <w:style w:type="character" w:customStyle="1" w:styleId="Small">
    <w:name w:val="Small"/>
    <w:basedOn w:val="DefaultParagraphFont"/>
    <w:rsid w:val="00147C1A"/>
    <w:rPr>
      <w:sz w:val="16"/>
    </w:rPr>
  </w:style>
  <w:style w:type="paragraph" w:customStyle="1" w:styleId="WideTable">
    <w:name w:val="Wide Table"/>
    <w:basedOn w:val="Normal"/>
    <w:rsid w:val="00147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C1A"/>
  </w:style>
  <w:style w:type="paragraph" w:styleId="Quote">
    <w:name w:val="Quote"/>
    <w:basedOn w:val="Heading1"/>
    <w:link w:val="QuoteChar"/>
    <w:qFormat/>
    <w:rsid w:val="00147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C1A"/>
    <w:pPr>
      <w:pageBreakBefore/>
    </w:pPr>
  </w:style>
  <w:style w:type="paragraph" w:customStyle="1" w:styleId="Border">
    <w:name w:val="Border"/>
    <w:basedOn w:val="Normal"/>
    <w:qFormat/>
    <w:rsid w:val="00147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C1A"/>
    <w:rPr>
      <w:u w:val="single"/>
    </w:rPr>
  </w:style>
  <w:style w:type="character" w:customStyle="1" w:styleId="BoldandItalics">
    <w:name w:val="Bold and Italics"/>
    <w:qFormat/>
    <w:rsid w:val="00147C1A"/>
    <w:rPr>
      <w:b/>
      <w:i/>
      <w:u w:val="none"/>
    </w:rPr>
  </w:style>
  <w:style w:type="paragraph" w:styleId="BalloonText">
    <w:name w:val="Balloon Text"/>
    <w:basedOn w:val="Normal"/>
    <w:link w:val="BalloonTextChar"/>
    <w:rsid w:val="00147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C1A"/>
    <w:pPr>
      <w:spacing w:before="0" w:after="0"/>
    </w:pPr>
  </w:style>
  <w:style w:type="paragraph" w:customStyle="1" w:styleId="BodyTextBold">
    <w:name w:val="Body Text Bold"/>
    <w:basedOn w:val="BodyText"/>
    <w:qFormat/>
    <w:rsid w:val="00147C1A"/>
    <w:rPr>
      <w:b/>
    </w:rPr>
  </w:style>
  <w:style w:type="character" w:styleId="Hyperlink">
    <w:name w:val="Hyperlink"/>
    <w:basedOn w:val="DefaultParagraphFont"/>
    <w:uiPriority w:val="99"/>
    <w:unhideWhenUsed/>
    <w:rsid w:val="00296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3045</Characters>
  <Application>Microsoft Office Word</Application>
  <DocSecurity>0</DocSecurity>
  <Lines>66</Lines>
  <Paragraphs>37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MEM09229 Read and interpret technical engineering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