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A5B" w:rsidP="00824A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MEM09204 Produce basic engineering detail drawings</w:t>
      </w:r>
      <w:r>
        <w:fldChar w:fldCharType="end"/>
      </w:r>
    </w:p>
    <w:p w:rsidR="00824A5B" w:rsidP="00824A5B">
      <w:pPr>
        <w:pStyle w:val="Version"/>
        <w:sectPr w:rsidSect="006839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906" w:rsidP="00683906">
      <w:pPr>
        <w:pStyle w:val="SuperHeading"/>
      </w:pPr>
      <w:r w:rsidRPr="00683906">
        <w:t>MEM09204 Produce basic engineering detail drawings</w:t>
      </w:r>
    </w:p>
    <w:p w:rsidR="00000000" w:rsidRPr="00683906" w:rsidP="00683906">
      <w:pPr>
        <w:pStyle w:val="Heading1"/>
      </w:pPr>
      <w:bookmarkStart w:id="1" w:name="O_949345"/>
      <w:bookmarkEnd w:id="1"/>
      <w:r w:rsidRPr="00683906">
        <w:t>Modification History</w:t>
      </w:r>
    </w:p>
    <w:p w:rsidR="00824A5B" w:rsidP="00824A5B">
      <w:pPr>
        <w:pStyle w:val="BodyText"/>
      </w:pPr>
      <w:r w:rsidRPr="00683906">
        <w:t>Release 1. Supersedes and is equivalent to MEM09204A Produce basic engineering detail drawings.</w:t>
      </w:r>
    </w:p>
    <w:p w:rsidR="00000000" w:rsidRPr="00683906" w:rsidP="00683906">
      <w:pPr>
        <w:pStyle w:val="Heading1"/>
      </w:pPr>
      <w:bookmarkStart w:id="2" w:name="O_949353"/>
      <w:bookmarkEnd w:id="2"/>
      <w:r w:rsidRPr="00683906">
        <w:t>Application</w:t>
      </w:r>
    </w:p>
    <w:p w:rsidR="00000000" w:rsidRPr="00683906" w:rsidP="00824A5B">
      <w:pPr>
        <w:pStyle w:val="BodyText"/>
      </w:pPr>
      <w:r w:rsidRPr="00683906">
        <w:t>This unit of competency defines the skills and knowledge required to produce basic engineering detail</w:t>
      </w:r>
      <w:r w:rsidRPr="00683906">
        <w:t xml:space="preserve"> drawings to Australian Standard (AS) 1100.101 Technical drawing - General principles and is primarily for those working within a drafting work environment with engineering and manufacturing applications.</w:t>
      </w:r>
    </w:p>
    <w:p w:rsidR="00000000" w:rsidRPr="00683906" w:rsidP="00824A5B">
      <w:pPr>
        <w:pStyle w:val="BodyText"/>
      </w:pPr>
      <w:r w:rsidRPr="00683906">
        <w:t>Critical dimensions and specifications for the draw</w:t>
      </w:r>
      <w:r w:rsidRPr="00683906">
        <w:t>ing are predetermined and may be obtained from design information, customer requirements, sketches and preliminary layouts and drawings. Drawings will usually be carried out with the use of computer-aided design (CAD) systems but may also be done manually.</w:t>
      </w:r>
    </w:p>
    <w:p w:rsidR="00824A5B" w:rsidP="00824A5B">
      <w:pPr>
        <w:pStyle w:val="BodyText"/>
      </w:pPr>
      <w:r w:rsidRPr="00683906">
        <w:t>No licensing, legislative or certification requirements apply to this unit at the time of publication.</w:t>
      </w:r>
    </w:p>
    <w:p w:rsidR="00000000" w:rsidRPr="00683906" w:rsidP="00683906">
      <w:pPr>
        <w:pStyle w:val="Heading1"/>
      </w:pPr>
      <w:bookmarkStart w:id="3" w:name="O_949352"/>
      <w:bookmarkEnd w:id="3"/>
      <w:r w:rsidRPr="00683906">
        <w:t>Pre-requisite Unit</w:t>
      </w:r>
    </w:p>
    <w:p w:rsidR="00000000" w:rsidRPr="00683906" w:rsidP="00824A5B">
      <w:pPr>
        <w:pStyle w:val="BodyText"/>
      </w:pPr>
      <w:r w:rsidRPr="00683906">
        <w:t>MEM09229 Read and interpret technical engineering drawings</w:t>
      </w:r>
    </w:p>
    <w:p w:rsidR="00000000" w:rsidRPr="00683906" w:rsidP="00683906">
      <w:pPr>
        <w:pStyle w:val="Heading1"/>
      </w:pPr>
      <w:bookmarkStart w:id="4" w:name="O_949351"/>
      <w:bookmarkEnd w:id="4"/>
      <w:r w:rsidRPr="00683906">
        <w:t>Competency Field</w:t>
      </w:r>
    </w:p>
    <w:p w:rsidR="00000000" w:rsidRPr="00683906" w:rsidP="00824A5B">
      <w:pPr>
        <w:pStyle w:val="BodyText"/>
      </w:pPr>
      <w:r w:rsidRPr="00683906">
        <w:t xml:space="preserve">Drawing, drafting and </w:t>
      </w:r>
      <w:r w:rsidRPr="00683906">
        <w:t>design</w:t>
      </w:r>
    </w:p>
    <w:p w:rsidR="00000000" w:rsidRPr="00683906" w:rsidP="00683906">
      <w:pPr>
        <w:pStyle w:val="Heading1"/>
      </w:pPr>
      <w:bookmarkStart w:id="5" w:name="O_949349"/>
      <w:bookmarkEnd w:id="5"/>
      <w:r w:rsidRPr="0068390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24A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06" w:rsidP="00683906">
            <w:pPr>
              <w:pStyle w:val="BodyText"/>
            </w:pPr>
            <w:r w:rsidRPr="00683906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06">
            <w:pPr>
              <w:pStyle w:val="BodyText"/>
              <w:rPr>
                <w:lang w:val="en-NZ"/>
              </w:rPr>
            </w:pPr>
            <w:r w:rsidRPr="00683906">
              <w:rPr>
                <w:rStyle w:val="SpecialBold"/>
              </w:rPr>
              <w:t>Performance Criteria</w:t>
            </w:r>
          </w:p>
        </w:tc>
      </w:tr>
      <w:tr w:rsidTr="00824A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06" w:rsidP="00683906">
            <w:pPr>
              <w:pStyle w:val="BodyText"/>
            </w:pPr>
            <w:r w:rsidRPr="00683906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06">
            <w:pPr>
              <w:pStyle w:val="BodyText"/>
              <w:rPr>
                <w:lang w:val="en-NZ"/>
              </w:rPr>
            </w:pPr>
            <w:r w:rsidRPr="006839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4A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06">
            <w:pPr>
              <w:pStyle w:val="BodyText"/>
              <w:rPr>
                <w:lang w:val="en-NZ"/>
              </w:rPr>
            </w:pPr>
            <w:r w:rsidRPr="00683906">
              <w:t xml:space="preserve">1. Determine job requirements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06" w:rsidP="00683906">
            <w:pPr>
              <w:pStyle w:val="BodyText"/>
            </w:pPr>
            <w:r w:rsidRPr="00683906">
              <w:t>1.1 Follow standard operating procedures (SOPs) or work instructions</w:t>
            </w:r>
          </w:p>
          <w:p w:rsidR="00000000" w:rsidRPr="00683906" w:rsidP="00683906">
            <w:pPr>
              <w:pStyle w:val="BodyText"/>
            </w:pPr>
            <w:r w:rsidRPr="00683906">
              <w:t>1.2 Comply with work health and safety (WHS) requirements at all times</w:t>
            </w:r>
          </w:p>
          <w:p w:rsidR="00000000" w:rsidRPr="00683906" w:rsidP="00683906">
            <w:pPr>
              <w:pStyle w:val="BodyText"/>
            </w:pPr>
            <w:r w:rsidRPr="00683906">
              <w:t>1.3 Identify job requirements from existing documentation, and identify and address f</w:t>
            </w:r>
            <w:r w:rsidRPr="00683906">
              <w:t>urther information needs</w:t>
            </w:r>
          </w:p>
          <w:p w:rsidR="00000000" w:rsidRPr="00683906" w:rsidP="00683906">
            <w:pPr>
              <w:pStyle w:val="BodyText"/>
            </w:pPr>
            <w:r w:rsidRPr="00683906">
              <w:t>1.4 Check purpose, scope and information requirements for drawing</w:t>
            </w:r>
          </w:p>
          <w:p w:rsidR="00000000" w:rsidRPr="00683906" w:rsidP="00683906">
            <w:pPr>
              <w:pStyle w:val="BodyText"/>
            </w:pPr>
            <w:r w:rsidRPr="00683906">
              <w:t>1.5 Identify and prepare equipment required to complete work</w:t>
            </w:r>
          </w:p>
          <w:p w:rsidR="00000000" w:rsidRPr="00683906" w:rsidP="00683906">
            <w:pPr>
              <w:pStyle w:val="BodyText"/>
            </w:pPr>
            <w:r w:rsidRPr="00683906">
              <w:t>1.6 Determine drawing presentation requirements</w:t>
            </w:r>
          </w:p>
          <w:p w:rsidR="00000000" w:rsidP="00683906">
            <w:pPr>
              <w:pStyle w:val="BodyText"/>
              <w:rPr>
                <w:lang w:val="en-NZ"/>
              </w:rPr>
            </w:pPr>
            <w:r w:rsidRPr="00683906">
              <w:t>1.7 Determine communication requirements</w:t>
            </w:r>
          </w:p>
        </w:tc>
      </w:tr>
      <w:tr w:rsidTr="00824A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06">
            <w:pPr>
              <w:pStyle w:val="BodyText"/>
              <w:rPr>
                <w:lang w:val="en-NZ"/>
              </w:rPr>
            </w:pPr>
            <w:r w:rsidRPr="00683906">
              <w:t xml:space="preserve">2. Produce </w:t>
            </w:r>
            <w:r w:rsidRPr="00683906">
              <w:t>detail drawing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06" w:rsidP="00683906">
            <w:pPr>
              <w:pStyle w:val="BodyText"/>
            </w:pPr>
            <w:r w:rsidRPr="00683906">
              <w:t>2.1 Prepare drawings in plane orthogonal</w:t>
            </w:r>
          </w:p>
          <w:p w:rsidR="00000000" w:rsidRPr="00683906" w:rsidP="00683906">
            <w:pPr>
              <w:pStyle w:val="BodyText"/>
            </w:pPr>
            <w:r w:rsidRPr="00683906">
              <w:t>2.2 Apply standard drawing conventions, including dimensions, required method of projection, and full notation</w:t>
            </w:r>
          </w:p>
          <w:p w:rsidR="00000000" w:rsidRPr="00683906" w:rsidP="00683906">
            <w:pPr>
              <w:pStyle w:val="BodyText"/>
            </w:pPr>
            <w:r w:rsidRPr="00683906">
              <w:t>2.3 Use drawing techniques according to work requirements</w:t>
            </w:r>
          </w:p>
          <w:p w:rsidR="00000000" w:rsidP="00683906">
            <w:pPr>
              <w:pStyle w:val="BodyText"/>
              <w:rPr>
                <w:lang w:val="en-NZ"/>
              </w:rPr>
            </w:pPr>
            <w:r w:rsidRPr="00683906">
              <w:t xml:space="preserve">2.4 Apply industry symbols and </w:t>
            </w:r>
            <w:r w:rsidRPr="00683906">
              <w:t>ensure presentation meets industry standards</w:t>
            </w:r>
          </w:p>
        </w:tc>
      </w:tr>
      <w:tr w:rsidTr="00824A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06">
            <w:pPr>
              <w:pStyle w:val="BodyText"/>
              <w:rPr>
                <w:lang w:val="en-NZ"/>
              </w:rPr>
            </w:pPr>
            <w:r w:rsidRPr="00683906">
              <w:t>3. Prepare engineering parts list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06" w:rsidP="00683906">
            <w:pPr>
              <w:pStyle w:val="BodyText"/>
            </w:pPr>
            <w:r w:rsidRPr="00683906">
              <w:t>3.1 Identify components or parts and organise by component type in accordance with SOPs</w:t>
            </w:r>
          </w:p>
          <w:p w:rsidR="00000000" w:rsidP="00683906">
            <w:pPr>
              <w:pStyle w:val="BodyText"/>
              <w:rPr>
                <w:lang w:val="en-NZ"/>
              </w:rPr>
            </w:pPr>
            <w:r w:rsidRPr="00683906">
              <w:t>3.2 Prepare parts list in accordance with SOPs</w:t>
            </w:r>
          </w:p>
        </w:tc>
      </w:tr>
      <w:tr w:rsidTr="00824A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06">
            <w:pPr>
              <w:pStyle w:val="BodyText"/>
              <w:rPr>
                <w:lang w:val="en-NZ"/>
              </w:rPr>
            </w:pPr>
            <w:r w:rsidRPr="00683906">
              <w:t>4. Complete drawing task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06" w:rsidP="00683906">
            <w:pPr>
              <w:pStyle w:val="BodyText"/>
            </w:pPr>
            <w:r w:rsidRPr="00683906">
              <w:t>4.1 Check and c</w:t>
            </w:r>
            <w:r w:rsidRPr="00683906">
              <w:t>onfirm dimensions, angles and proportions</w:t>
            </w:r>
          </w:p>
          <w:p w:rsidR="00000000" w:rsidRPr="00683906" w:rsidP="00683906">
            <w:pPr>
              <w:pStyle w:val="BodyText"/>
            </w:pPr>
            <w:r w:rsidRPr="00683906">
              <w:t>4.2 Confirm drawing contains all relevant and accurate information</w:t>
            </w:r>
          </w:p>
          <w:p w:rsidR="00000000" w:rsidRPr="00683906" w:rsidP="00683906">
            <w:pPr>
              <w:pStyle w:val="BodyText"/>
            </w:pPr>
            <w:r w:rsidRPr="00683906">
              <w:t>4.3 Present drawing according to organisational requirements</w:t>
            </w:r>
          </w:p>
          <w:p w:rsidR="00000000" w:rsidRPr="00683906" w:rsidP="00683906">
            <w:pPr>
              <w:pStyle w:val="BodyText"/>
            </w:pPr>
            <w:r w:rsidRPr="00683906">
              <w:t>4.4 Issue and file drawing in accordance with SOPs</w:t>
            </w:r>
          </w:p>
          <w:p w:rsidR="00000000" w:rsidRPr="00683906" w:rsidP="00683906">
            <w:pPr>
              <w:pStyle w:val="BodyText"/>
            </w:pPr>
            <w:r w:rsidRPr="00683906">
              <w:t>4.5 Evaluate work and identify area</w:t>
            </w:r>
            <w:r w:rsidRPr="00683906">
              <w:t>s for improvement</w:t>
            </w:r>
          </w:p>
          <w:p w:rsidR="00000000" w:rsidRPr="00683906" w:rsidP="00683906">
            <w:pPr>
              <w:pStyle w:val="BodyText"/>
            </w:pPr>
            <w:r w:rsidRPr="00683906">
              <w:t>4.6 Print the final drawing to a standard scale</w:t>
            </w:r>
          </w:p>
        </w:tc>
      </w:tr>
    </w:tbl>
    <w:p w:rsidR="00824A5B" w:rsidP="00683906">
      <w:pPr>
        <w:pStyle w:val="BodyText"/>
      </w:pPr>
    </w:p>
    <w:p w:rsidR="00824A5B" w:rsidP="00683906">
      <w:pPr>
        <w:pStyle w:val="BodyText"/>
      </w:pPr>
    </w:p>
    <w:p w:rsidR="00000000" w:rsidRPr="00683906" w:rsidP="00683906">
      <w:pPr>
        <w:pStyle w:val="Heading1"/>
      </w:pPr>
      <w:bookmarkStart w:id="6" w:name="O_949348"/>
      <w:bookmarkEnd w:id="6"/>
      <w:r w:rsidRPr="00683906">
        <w:t>Foundation Skills</w:t>
      </w:r>
    </w:p>
    <w:p w:rsidR="00000000" w:rsidRPr="00683906" w:rsidP="00824A5B">
      <w:pPr>
        <w:pStyle w:val="BodyText"/>
      </w:pPr>
      <w:r w:rsidRPr="00683906">
        <w:t>This section describes those language, literacy, numeracy and employment skills that are essential to performance.</w:t>
      </w:r>
    </w:p>
    <w:p w:rsidR="00000000" w:rsidRPr="00683906" w:rsidP="00824A5B">
      <w:pPr>
        <w:pStyle w:val="BodyText"/>
      </w:pPr>
      <w:r w:rsidRPr="00683906">
        <w:t>Foundation skills essential to performance are explicit in the performance criteria of this unit of competency.</w:t>
      </w:r>
    </w:p>
    <w:p w:rsidR="00000000" w:rsidRPr="00683906" w:rsidP="00683906">
      <w:pPr>
        <w:pStyle w:val="Heading1"/>
      </w:pPr>
      <w:bookmarkStart w:id="7" w:name="O_949347"/>
      <w:bookmarkEnd w:id="7"/>
      <w:r w:rsidRPr="00683906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839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06">
            <w:pPr>
              <w:pStyle w:val="BodyText"/>
              <w:rPr>
                <w:lang w:val="en-NZ"/>
              </w:rPr>
            </w:pPr>
            <w:r w:rsidRPr="00683906">
              <w:t>This field allows for different work environments and conditions that may affect performance. Essential ope</w:t>
            </w:r>
            <w:r w:rsidRPr="00683906">
              <w:t xml:space="preserve">rating conditions that may be present (depending on the work situation, needs of the </w:t>
            </w:r>
            <w:r w:rsidRPr="00683906">
              <w:t>candidate, accessibility of the item, and local industry and regional contexts) are included.</w:t>
            </w:r>
          </w:p>
        </w:tc>
      </w:tr>
      <w:tr w:rsidTr="006839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06">
            <w:pPr>
              <w:pStyle w:val="BodyText"/>
              <w:rPr>
                <w:lang w:val="en-NZ"/>
              </w:rPr>
            </w:pPr>
            <w:r w:rsidRPr="00683906">
              <w:t>Standard drawing conventions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06" w:rsidP="00683906">
            <w:pPr>
              <w:pStyle w:val="ListBullet"/>
            </w:pPr>
            <w:r w:rsidRPr="00683906">
              <w:t>use of correct dimensioning techniqu</w:t>
            </w:r>
            <w:r w:rsidRPr="00683906">
              <w:t>e</w:t>
            </w:r>
          </w:p>
          <w:p w:rsidR="00000000" w:rsidRPr="00683906" w:rsidP="00683906">
            <w:pPr>
              <w:pStyle w:val="ListBullet"/>
            </w:pPr>
            <w:r w:rsidRPr="00683906">
              <w:t>use of correct scales and proportion</w:t>
            </w:r>
          </w:p>
          <w:p w:rsidR="00000000" w:rsidRPr="00683906" w:rsidP="00683906">
            <w:pPr>
              <w:pStyle w:val="BodyText"/>
            </w:pPr>
            <w:r w:rsidRPr="00683906">
              <w:t>Plus one or more of the following:</w:t>
            </w:r>
          </w:p>
          <w:p w:rsidR="00000000" w:rsidRPr="00683906" w:rsidP="00683906">
            <w:pPr>
              <w:pStyle w:val="ListBullet"/>
            </w:pPr>
            <w:r w:rsidRPr="00683906">
              <w:t>use of correct sectioning technique</w:t>
            </w:r>
          </w:p>
          <w:p w:rsidR="00000000" w:rsidRPr="00683906" w:rsidP="00683906">
            <w:pPr>
              <w:pStyle w:val="ListBullet"/>
            </w:pPr>
            <w:r w:rsidRPr="00683906">
              <w:t>identification of cutting plane</w:t>
            </w:r>
          </w:p>
          <w:p w:rsidR="00000000" w:rsidRPr="00683906" w:rsidP="00683906">
            <w:pPr>
              <w:pStyle w:val="ListBullet"/>
            </w:pPr>
            <w:r w:rsidRPr="00683906">
              <w:t>accurate line types</w:t>
            </w:r>
          </w:p>
          <w:p w:rsidR="00000000" w:rsidRPr="00683906" w:rsidP="00683906">
            <w:pPr>
              <w:pStyle w:val="ListBullet"/>
            </w:pPr>
            <w:r w:rsidRPr="00683906">
              <w:t>appropriate view positions</w:t>
            </w:r>
          </w:p>
          <w:p w:rsidR="00000000" w:rsidRPr="00683906" w:rsidP="00683906">
            <w:pPr>
              <w:pStyle w:val="ListBullet"/>
            </w:pPr>
            <w:r w:rsidRPr="00683906">
              <w:t>use of correct symbols</w:t>
            </w:r>
          </w:p>
          <w:p w:rsidR="00000000" w:rsidRPr="00683906" w:rsidP="00683906">
            <w:pPr>
              <w:pStyle w:val="ListBullet"/>
            </w:pPr>
            <w:r w:rsidRPr="00683906">
              <w:t>provision of suitable number of views</w:t>
            </w:r>
          </w:p>
          <w:p w:rsidR="00000000" w:rsidP="00683906">
            <w:pPr>
              <w:pStyle w:val="ListBullet"/>
              <w:rPr>
                <w:lang w:val="en-NZ"/>
              </w:rPr>
            </w:pPr>
            <w:r w:rsidRPr="00683906">
              <w:t>neat presentation.</w:t>
            </w:r>
          </w:p>
        </w:tc>
      </w:tr>
      <w:tr w:rsidTr="0068390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06">
            <w:pPr>
              <w:pStyle w:val="BodyText"/>
              <w:rPr>
                <w:lang w:val="en-NZ"/>
              </w:rPr>
            </w:pPr>
            <w:r w:rsidRPr="00683906">
              <w:t>Drawing techniques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06" w:rsidP="00683906">
            <w:pPr>
              <w:pStyle w:val="ListBullet"/>
            </w:pPr>
            <w:r w:rsidRPr="00683906">
              <w:t>orthogonal projection:</w:t>
            </w:r>
          </w:p>
          <w:p w:rsidR="00000000" w:rsidRPr="00683906" w:rsidP="00683906">
            <w:pPr>
              <w:pStyle w:val="ListBullet2"/>
            </w:pPr>
            <w:r w:rsidRPr="00683906">
              <w:t>first angle projection</w:t>
            </w:r>
          </w:p>
          <w:p w:rsidR="00000000" w:rsidRPr="00683906" w:rsidP="00683906">
            <w:pPr>
              <w:pStyle w:val="ListBullet2"/>
            </w:pPr>
            <w:r w:rsidRPr="00683906">
              <w:t>third angle projection</w:t>
            </w:r>
          </w:p>
          <w:p w:rsidR="00000000" w:rsidRPr="00683906" w:rsidP="00683906">
            <w:pPr>
              <w:pStyle w:val="ListBullet2"/>
            </w:pPr>
            <w:r w:rsidRPr="00683906">
              <w:t>projection symbol</w:t>
            </w:r>
          </w:p>
          <w:p w:rsidR="00000000" w:rsidRPr="00683906" w:rsidP="00683906">
            <w:pPr>
              <w:pStyle w:val="ListBullet2"/>
            </w:pPr>
            <w:r w:rsidRPr="00683906">
              <w:t>preferred system of projection in Australia</w:t>
            </w:r>
          </w:p>
          <w:p w:rsidR="00000000" w:rsidRPr="00683906" w:rsidP="00683906">
            <w:pPr>
              <w:pStyle w:val="ListBullet2"/>
            </w:pPr>
            <w:r w:rsidRPr="00683906">
              <w:t>number of views</w:t>
            </w:r>
          </w:p>
          <w:p w:rsidR="00000000" w:rsidRPr="00683906" w:rsidP="00683906">
            <w:pPr>
              <w:pStyle w:val="ListBullet2"/>
            </w:pPr>
            <w:r w:rsidRPr="00683906">
              <w:t>relationship of views</w:t>
            </w:r>
          </w:p>
          <w:p w:rsidR="00000000" w:rsidRPr="00683906" w:rsidP="00683906">
            <w:pPr>
              <w:pStyle w:val="ListBullet"/>
            </w:pPr>
            <w:r w:rsidRPr="00683906">
              <w:t>sheet format:</w:t>
            </w:r>
          </w:p>
          <w:p w:rsidR="00000000" w:rsidRPr="00683906" w:rsidP="00683906">
            <w:pPr>
              <w:pStyle w:val="ListBullet2"/>
            </w:pPr>
            <w:r w:rsidRPr="00683906">
              <w:t>borders and title blocks</w:t>
            </w:r>
          </w:p>
          <w:p w:rsidR="00000000" w:rsidRPr="00683906" w:rsidP="00683906">
            <w:pPr>
              <w:pStyle w:val="ListBullet2"/>
            </w:pPr>
            <w:r w:rsidRPr="00683906">
              <w:t>application of projection symbol</w:t>
            </w:r>
          </w:p>
          <w:p w:rsidR="00000000" w:rsidRPr="00683906" w:rsidP="00683906">
            <w:pPr>
              <w:pStyle w:val="ListBullet2"/>
            </w:pPr>
            <w:r w:rsidRPr="00683906">
              <w:t>drawing sheets and sizes</w:t>
            </w:r>
          </w:p>
          <w:p w:rsidR="00000000" w:rsidRPr="00683906" w:rsidP="00683906">
            <w:pPr>
              <w:pStyle w:val="ListBullet2"/>
            </w:pPr>
            <w:r w:rsidRPr="00683906">
              <w:t>lettering styles</w:t>
            </w:r>
          </w:p>
          <w:p w:rsidR="00000000" w:rsidRPr="00683906" w:rsidP="00683906">
            <w:pPr>
              <w:pStyle w:val="ListBullet2"/>
            </w:pPr>
            <w:r w:rsidRPr="00683906">
              <w:t>Australian Standards</w:t>
            </w:r>
          </w:p>
          <w:p w:rsidR="00000000" w:rsidRPr="00683906" w:rsidP="00683906">
            <w:pPr>
              <w:pStyle w:val="ListBullet"/>
            </w:pPr>
            <w:r w:rsidRPr="00683906">
              <w:t>dimensioning:</w:t>
            </w:r>
          </w:p>
          <w:p w:rsidR="00000000" w:rsidRPr="00683906" w:rsidP="00683906">
            <w:pPr>
              <w:pStyle w:val="ListBullet2"/>
            </w:pPr>
            <w:r w:rsidRPr="00683906">
              <w:t>unidirectional dimensioning</w:t>
            </w:r>
          </w:p>
          <w:p w:rsidR="00000000" w:rsidRPr="00683906" w:rsidP="00683906">
            <w:pPr>
              <w:pStyle w:val="ListBullet2"/>
            </w:pPr>
            <w:r w:rsidRPr="00683906">
              <w:t>aligned dimensioning</w:t>
            </w:r>
          </w:p>
          <w:p w:rsidR="00000000" w:rsidRPr="00683906" w:rsidP="00683906">
            <w:pPr>
              <w:pStyle w:val="ListBullet2"/>
            </w:pPr>
            <w:r w:rsidRPr="00683906">
              <w:t>projection and dimension lines</w:t>
            </w:r>
          </w:p>
          <w:p w:rsidR="00000000" w:rsidRPr="00683906" w:rsidP="00683906">
            <w:pPr>
              <w:pStyle w:val="ListBullet2"/>
            </w:pPr>
            <w:r w:rsidRPr="00683906">
              <w:t>arrow heads</w:t>
            </w:r>
          </w:p>
          <w:p w:rsidR="00000000" w:rsidRPr="00683906" w:rsidP="00683906">
            <w:pPr>
              <w:pStyle w:val="ListBullet2"/>
            </w:pPr>
            <w:r w:rsidRPr="00683906">
              <w:t>dimension placement</w:t>
            </w:r>
          </w:p>
          <w:p w:rsidR="00000000" w:rsidRPr="00683906" w:rsidP="00683906">
            <w:pPr>
              <w:pStyle w:val="ListBullet"/>
            </w:pPr>
            <w:r w:rsidRPr="00683906">
              <w:t>scale drawing:</w:t>
            </w:r>
          </w:p>
          <w:p w:rsidR="00000000" w:rsidRPr="00683906" w:rsidP="00683906">
            <w:pPr>
              <w:pStyle w:val="ListBullet2"/>
            </w:pPr>
            <w:r w:rsidRPr="00683906">
              <w:t>recommended scales</w:t>
            </w:r>
          </w:p>
          <w:p w:rsidR="00000000" w:rsidRPr="00683906" w:rsidP="00683906">
            <w:pPr>
              <w:pStyle w:val="ListBullet2"/>
            </w:pPr>
            <w:r w:rsidRPr="00683906">
              <w:t>reduction scales</w:t>
            </w:r>
          </w:p>
          <w:p w:rsidR="00000000" w:rsidRPr="00683906" w:rsidP="00683906">
            <w:pPr>
              <w:pStyle w:val="ListBullet2"/>
            </w:pPr>
            <w:r w:rsidRPr="00683906">
              <w:t>enlargement scales</w:t>
            </w:r>
          </w:p>
          <w:p w:rsidR="00000000" w:rsidRPr="00683906" w:rsidP="00683906">
            <w:pPr>
              <w:pStyle w:val="ListBullet2"/>
            </w:pPr>
            <w:r w:rsidRPr="00683906">
              <w:t>multiple scales</w:t>
            </w:r>
          </w:p>
          <w:p w:rsidR="00000000" w:rsidRPr="00683906" w:rsidP="00683906">
            <w:pPr>
              <w:pStyle w:val="ListBullet2"/>
            </w:pPr>
            <w:r w:rsidRPr="00683906">
              <w:t>dimensioning techniques of scale drawings</w:t>
            </w:r>
          </w:p>
          <w:p w:rsidR="00000000" w:rsidRPr="00683906" w:rsidP="00683906">
            <w:pPr>
              <w:pStyle w:val="ListBullet"/>
            </w:pPr>
            <w:r w:rsidRPr="00683906">
              <w:t>sectioning and types of sections:</w:t>
            </w:r>
          </w:p>
          <w:p w:rsidR="00000000" w:rsidRPr="00683906" w:rsidP="00683906">
            <w:pPr>
              <w:pStyle w:val="ListBullet2"/>
            </w:pPr>
            <w:r w:rsidRPr="00683906">
              <w:t>required section views</w:t>
            </w:r>
          </w:p>
          <w:p w:rsidR="00000000" w:rsidRPr="00683906" w:rsidP="00683906">
            <w:pPr>
              <w:pStyle w:val="ListBullet2"/>
            </w:pPr>
            <w:r w:rsidRPr="00683906">
              <w:t>placement of views</w:t>
            </w:r>
          </w:p>
          <w:p w:rsidR="00000000" w:rsidRPr="00683906" w:rsidP="00683906">
            <w:pPr>
              <w:pStyle w:val="ListBullet2"/>
            </w:pPr>
            <w:r w:rsidRPr="00683906">
              <w:t>cutting planes</w:t>
            </w:r>
          </w:p>
          <w:p w:rsidR="00000000" w:rsidRPr="00683906" w:rsidP="00683906">
            <w:pPr>
              <w:pStyle w:val="ListBullet2"/>
            </w:pPr>
            <w:r w:rsidRPr="00683906">
              <w:t xml:space="preserve">labelling of </w:t>
            </w:r>
            <w:r w:rsidRPr="00683906">
              <w:t>cutting planes and section views</w:t>
            </w:r>
          </w:p>
          <w:p w:rsidR="00000000" w:rsidRPr="00683906" w:rsidP="00683906">
            <w:pPr>
              <w:pStyle w:val="ListBullet2"/>
            </w:pPr>
            <w:r w:rsidRPr="00683906">
              <w:t>general notes.</w:t>
            </w:r>
          </w:p>
        </w:tc>
      </w:tr>
    </w:tbl>
    <w:p w:rsidR="00824A5B" w:rsidP="00683906">
      <w:pPr>
        <w:pStyle w:val="BodyText"/>
      </w:pPr>
    </w:p>
    <w:p w:rsidR="00824A5B" w:rsidP="00683906">
      <w:pPr>
        <w:pStyle w:val="BodyText"/>
      </w:pPr>
    </w:p>
    <w:p w:rsidR="00000000" w:rsidRPr="00683906" w:rsidP="00683906">
      <w:pPr>
        <w:pStyle w:val="Heading1"/>
      </w:pPr>
      <w:bookmarkStart w:id="8" w:name="O_949346"/>
      <w:bookmarkEnd w:id="8"/>
      <w:r w:rsidRPr="00683906">
        <w:t>Unit Mapping Information</w:t>
      </w:r>
    </w:p>
    <w:p w:rsidR="00824A5B" w:rsidP="00824A5B">
      <w:pPr>
        <w:pStyle w:val="BodyText"/>
      </w:pPr>
      <w:r w:rsidRPr="00683906">
        <w:t>Release 1. Supersedes and is equivalent to MEM09204A Produce basic engineering detail drawings.</w:t>
      </w:r>
    </w:p>
    <w:p w:rsidR="00000000" w:rsidRPr="00683906" w:rsidP="00683906">
      <w:pPr>
        <w:pStyle w:val="Heading1"/>
      </w:pPr>
      <w:bookmarkStart w:id="9" w:name="O_949339"/>
      <w:bookmarkEnd w:id="9"/>
      <w:r w:rsidRPr="00683906">
        <w:t>Links</w:t>
      </w:r>
    </w:p>
    <w:p w:rsidR="00000000" w:rsidRPr="00683906" w:rsidP="00824A5B">
      <w:pPr>
        <w:pStyle w:val="BodyText"/>
      </w:pPr>
      <w:r w:rsidRPr="006839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F628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83906" w:rsidP="00683906"/>
    <w:sectPr w:rsidSect="006839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06" w:rsidRPr="00824A5B" w:rsidP="00824A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5B" w:rsidP="00683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4A5B" w:rsidP="00683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24A5B" w:rsidP="006839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906" w:rsidRPr="00824A5B" w:rsidP="00824A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5B" w:rsidRPr="002D2AF8" w:rsidP="00683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MEM09204 Produce basic engineering detail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24A5B" w:rsidP="006839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E646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784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000D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9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9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9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9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9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9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9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9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9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9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906"/>
  </w:style>
  <w:style w:type="character" w:customStyle="1" w:styleId="Heading1Char">
    <w:name w:val="Heading 1 Char"/>
    <w:basedOn w:val="DefaultParagraphFont"/>
    <w:link w:val="Heading1"/>
    <w:rsid w:val="006839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9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9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9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906"/>
    <w:rPr>
      <w:b/>
      <w:spacing w:val="0"/>
    </w:rPr>
  </w:style>
  <w:style w:type="paragraph" w:styleId="ListBullet2">
    <w:name w:val="List Bullet 2"/>
    <w:basedOn w:val="List2"/>
    <w:rsid w:val="006839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3906"/>
    <w:rPr>
      <w:i/>
    </w:rPr>
  </w:style>
  <w:style w:type="paragraph" w:customStyle="1" w:styleId="SuperHeading">
    <w:name w:val="SuperHeading"/>
    <w:basedOn w:val="Normal"/>
    <w:rsid w:val="006839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9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9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9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9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9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9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9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9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9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9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9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9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9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9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9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9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9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9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9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9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39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9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9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9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9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9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9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9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9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39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9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9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906"/>
  </w:style>
  <w:style w:type="paragraph" w:styleId="TableofFigures">
    <w:name w:val="table of figures"/>
    <w:basedOn w:val="Normal"/>
    <w:next w:val="Normal"/>
    <w:semiHidden/>
    <w:rsid w:val="006839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9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3906"/>
    <w:rPr>
      <w:rFonts w:ascii="Wingdings" w:hAnsi="Wingdings"/>
    </w:rPr>
  </w:style>
  <w:style w:type="paragraph" w:customStyle="1" w:styleId="TableHeading">
    <w:name w:val="Table Heading"/>
    <w:basedOn w:val="HeadingBase"/>
    <w:rsid w:val="006839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906"/>
    <w:rPr>
      <w:color w:val="0033CC"/>
      <w:u w:val="none"/>
    </w:rPr>
  </w:style>
  <w:style w:type="paragraph" w:customStyle="1" w:styleId="BodyTextRight">
    <w:name w:val="Body Text Right"/>
    <w:basedOn w:val="BodyText"/>
    <w:rsid w:val="006839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9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9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9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9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9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906"/>
    <w:rPr>
      <w:sz w:val="32"/>
    </w:rPr>
  </w:style>
  <w:style w:type="paragraph" w:customStyle="1" w:styleId="HeadingProcedure">
    <w:name w:val="Heading Procedure"/>
    <w:basedOn w:val="HeadingBase"/>
    <w:next w:val="Normal"/>
    <w:rsid w:val="006839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906"/>
    <w:pPr>
      <w:spacing w:before="60" w:after="60"/>
    </w:pPr>
  </w:style>
  <w:style w:type="paragraph" w:styleId="ListContinue">
    <w:name w:val="List Continue"/>
    <w:basedOn w:val="List"/>
    <w:rsid w:val="00683906"/>
    <w:pPr>
      <w:ind w:firstLine="0"/>
    </w:pPr>
  </w:style>
  <w:style w:type="paragraph" w:customStyle="1" w:styleId="ListNote">
    <w:name w:val="List Note"/>
    <w:basedOn w:val="List"/>
    <w:rsid w:val="006839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9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9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906"/>
    <w:rPr>
      <w:rFonts w:ascii="Courier New" w:hAnsi="Courier New"/>
    </w:rPr>
  </w:style>
  <w:style w:type="paragraph" w:customStyle="1" w:styleId="NoteBullet">
    <w:name w:val="Note Bullet"/>
    <w:basedOn w:val="Note"/>
    <w:rsid w:val="006839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9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9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9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9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39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9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906"/>
    <w:rPr>
      <w:b/>
      <w:smallCaps/>
    </w:rPr>
  </w:style>
  <w:style w:type="paragraph" w:customStyle="1" w:styleId="TableListNumber">
    <w:name w:val="Table List Number"/>
    <w:basedOn w:val="ListNumber"/>
    <w:rsid w:val="006839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9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906"/>
    <w:pPr>
      <w:numPr>
        <w:numId w:val="9"/>
      </w:numPr>
    </w:pPr>
  </w:style>
  <w:style w:type="paragraph" w:customStyle="1" w:styleId="ListAlpha2">
    <w:name w:val="List Alpha 2"/>
    <w:basedOn w:val="List2"/>
    <w:rsid w:val="00683906"/>
    <w:pPr>
      <w:numPr>
        <w:numId w:val="8"/>
      </w:numPr>
    </w:pPr>
  </w:style>
  <w:style w:type="paragraph" w:styleId="List2">
    <w:name w:val="List 2"/>
    <w:basedOn w:val="BodyText"/>
    <w:rsid w:val="006839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9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9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9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9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9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3906"/>
    <w:pPr>
      <w:numPr>
        <w:numId w:val="4"/>
      </w:numPr>
    </w:pPr>
  </w:style>
  <w:style w:type="paragraph" w:styleId="ListContinue2">
    <w:name w:val="List Continue 2"/>
    <w:basedOn w:val="List2"/>
    <w:rsid w:val="00683906"/>
    <w:pPr>
      <w:ind w:firstLine="0"/>
    </w:pPr>
  </w:style>
  <w:style w:type="paragraph" w:styleId="ListContinue3">
    <w:name w:val="List Continue 3"/>
    <w:basedOn w:val="List3"/>
    <w:rsid w:val="00683906"/>
    <w:pPr>
      <w:ind w:left="1021" w:firstLine="0"/>
    </w:pPr>
  </w:style>
  <w:style w:type="paragraph" w:styleId="ListContinue4">
    <w:name w:val="List Continue 4"/>
    <w:basedOn w:val="List4"/>
    <w:rsid w:val="00683906"/>
    <w:pPr>
      <w:ind w:firstLine="0"/>
    </w:pPr>
  </w:style>
  <w:style w:type="paragraph" w:styleId="ListContinue5">
    <w:name w:val="List Continue 5"/>
    <w:basedOn w:val="List5"/>
    <w:rsid w:val="00683906"/>
    <w:pPr>
      <w:ind w:firstLine="0"/>
    </w:pPr>
  </w:style>
  <w:style w:type="paragraph" w:styleId="ListNumber3">
    <w:name w:val="List Number 3"/>
    <w:basedOn w:val="List3"/>
    <w:rsid w:val="00683906"/>
    <w:pPr>
      <w:numPr>
        <w:numId w:val="5"/>
      </w:numPr>
    </w:pPr>
  </w:style>
  <w:style w:type="paragraph" w:styleId="ListNumber4">
    <w:name w:val="List Number 4"/>
    <w:basedOn w:val="List4"/>
    <w:rsid w:val="00683906"/>
    <w:pPr>
      <w:numPr>
        <w:numId w:val="6"/>
      </w:numPr>
    </w:pPr>
  </w:style>
  <w:style w:type="paragraph" w:styleId="ListNumber5">
    <w:name w:val="List Number 5"/>
    <w:basedOn w:val="List5"/>
    <w:rsid w:val="00683906"/>
    <w:pPr>
      <w:numPr>
        <w:numId w:val="7"/>
      </w:numPr>
    </w:pPr>
  </w:style>
  <w:style w:type="paragraph" w:styleId="BlockText">
    <w:name w:val="Block Text"/>
    <w:basedOn w:val="Normal"/>
    <w:rsid w:val="006839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9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906"/>
    <w:rPr>
      <w:sz w:val="16"/>
      <w:vertAlign w:val="superscript"/>
    </w:rPr>
  </w:style>
  <w:style w:type="character" w:customStyle="1" w:styleId="Symbols">
    <w:name w:val="Symbols"/>
    <w:basedOn w:val="DefaultParagraphFont"/>
    <w:rsid w:val="00683906"/>
    <w:rPr>
      <w:rFonts w:ascii="Symbol" w:hAnsi="Symbol"/>
    </w:rPr>
  </w:style>
  <w:style w:type="character" w:customStyle="1" w:styleId="MenuOptions">
    <w:name w:val="Menu Options"/>
    <w:basedOn w:val="DefaultParagraphFont"/>
    <w:rsid w:val="006839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906"/>
    <w:rPr>
      <w:b/>
    </w:rPr>
  </w:style>
  <w:style w:type="character" w:customStyle="1" w:styleId="Underlined">
    <w:name w:val="Underlined"/>
    <w:basedOn w:val="DefaultParagraphFont"/>
    <w:rsid w:val="00683906"/>
    <w:rPr>
      <w:u w:val="single"/>
    </w:rPr>
  </w:style>
  <w:style w:type="paragraph" w:customStyle="1" w:styleId="TableBodyTextRight">
    <w:name w:val="Table Body Text Right"/>
    <w:basedOn w:val="TableBodyText"/>
    <w:rsid w:val="006839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906"/>
    <w:rPr>
      <w:sz w:val="18"/>
    </w:rPr>
  </w:style>
  <w:style w:type="paragraph" w:customStyle="1" w:styleId="BodySmallRight">
    <w:name w:val="Body Small Right"/>
    <w:basedOn w:val="BodyTextRight"/>
    <w:rsid w:val="00683906"/>
    <w:rPr>
      <w:sz w:val="18"/>
      <w:szCs w:val="18"/>
    </w:rPr>
  </w:style>
  <w:style w:type="paragraph" w:customStyle="1" w:styleId="MarginEdition">
    <w:name w:val="Margin Edition"/>
    <w:basedOn w:val="MarginNote"/>
    <w:rsid w:val="006839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906"/>
    <w:rPr>
      <w:sz w:val="2"/>
      <w:szCs w:val="2"/>
    </w:rPr>
  </w:style>
  <w:style w:type="character" w:customStyle="1" w:styleId="Small">
    <w:name w:val="Small"/>
    <w:basedOn w:val="DefaultParagraphFont"/>
    <w:rsid w:val="00683906"/>
    <w:rPr>
      <w:sz w:val="16"/>
    </w:rPr>
  </w:style>
  <w:style w:type="paragraph" w:customStyle="1" w:styleId="WideTable">
    <w:name w:val="Wide Table"/>
    <w:basedOn w:val="Normal"/>
    <w:rsid w:val="006839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906"/>
  </w:style>
  <w:style w:type="paragraph" w:styleId="Quote">
    <w:name w:val="Quote"/>
    <w:basedOn w:val="Heading1"/>
    <w:link w:val="QuoteChar"/>
    <w:qFormat/>
    <w:rsid w:val="006839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9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906"/>
    <w:pPr>
      <w:pageBreakBefore/>
    </w:pPr>
  </w:style>
  <w:style w:type="paragraph" w:customStyle="1" w:styleId="Border">
    <w:name w:val="Border"/>
    <w:basedOn w:val="Normal"/>
    <w:qFormat/>
    <w:rsid w:val="006839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9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9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9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9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9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9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9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9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906"/>
    <w:rPr>
      <w:u w:val="single"/>
    </w:rPr>
  </w:style>
  <w:style w:type="character" w:customStyle="1" w:styleId="BoldandItalics">
    <w:name w:val="Bold and Italics"/>
    <w:qFormat/>
    <w:rsid w:val="00683906"/>
    <w:rPr>
      <w:b/>
      <w:i/>
      <w:u w:val="none"/>
    </w:rPr>
  </w:style>
  <w:style w:type="paragraph" w:styleId="BalloonText">
    <w:name w:val="Balloon Text"/>
    <w:basedOn w:val="Normal"/>
    <w:link w:val="BalloonTextChar"/>
    <w:rsid w:val="006839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9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9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9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9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9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906"/>
    <w:pPr>
      <w:spacing w:before="0" w:after="0"/>
    </w:pPr>
  </w:style>
  <w:style w:type="paragraph" w:customStyle="1" w:styleId="BodyTextBold">
    <w:name w:val="Body Text Bold"/>
    <w:basedOn w:val="BodyText"/>
    <w:qFormat/>
    <w:rsid w:val="00683906"/>
    <w:rPr>
      <w:b/>
    </w:rPr>
  </w:style>
  <w:style w:type="character" w:styleId="Hyperlink">
    <w:name w:val="Hyperlink"/>
    <w:basedOn w:val="DefaultParagraphFont"/>
    <w:uiPriority w:val="99"/>
    <w:unhideWhenUsed/>
    <w:rsid w:val="00824A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4113</Characters>
  <Application>Microsoft Office Word</Application>
  <DocSecurity>0</DocSecurity>
  <Lines>141</Lines>
  <Paragraphs>110</Paragraphs>
  <ScaleCrop>false</ScaleCrop>
  <Company>Author-it Software Corporation Ltd.</Company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MEM09204 Produce basic engineering detail drawings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