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C3B" w:rsidP="00513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MEM09155 Prepare mechanical models for computer-aided engineering (CAE)</w:t>
      </w:r>
      <w:r>
        <w:fldChar w:fldCharType="end"/>
      </w:r>
    </w:p>
    <w:p w:rsidR="00513C3B" w:rsidP="00513C3B">
      <w:pPr>
        <w:pStyle w:val="Version"/>
        <w:sectPr w:rsidSect="004B5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C5D" w:rsidP="004B5C5D">
      <w:pPr>
        <w:pStyle w:val="SuperHeading"/>
      </w:pPr>
      <w:r w:rsidRPr="004B5C5D">
        <w:t>MEM09155 Prepare mechanical models for computer-aided engineering (CAE)</w:t>
      </w:r>
    </w:p>
    <w:p w:rsidR="00000000" w:rsidRPr="004B5C5D" w:rsidP="004B5C5D">
      <w:pPr>
        <w:pStyle w:val="Heading1"/>
      </w:pPr>
      <w:bookmarkStart w:id="1" w:name="O_949212"/>
      <w:bookmarkEnd w:id="1"/>
      <w:r w:rsidRPr="004B5C5D">
        <w:t>Modification History</w:t>
      </w:r>
    </w:p>
    <w:p w:rsidR="00000000" w:rsidRPr="004B5C5D" w:rsidP="00513C3B">
      <w:pPr>
        <w:pStyle w:val="BodyText"/>
      </w:pPr>
      <w:r w:rsidRPr="004B5C5D">
        <w:t>Release 1. Supersedes and is equivalent to MEM09155A Prepare mechanical models for computer-aided engineering (CAE).</w:t>
      </w:r>
    </w:p>
    <w:p w:rsidR="00000000" w:rsidRPr="004B5C5D" w:rsidP="004B5C5D">
      <w:pPr>
        <w:pStyle w:val="Heading1"/>
      </w:pPr>
      <w:bookmarkStart w:id="2" w:name="O_949220"/>
      <w:bookmarkEnd w:id="2"/>
      <w:r w:rsidRPr="004B5C5D">
        <w:t>Application</w:t>
      </w:r>
    </w:p>
    <w:p w:rsidR="00000000" w:rsidRPr="004B5C5D" w:rsidP="00513C3B">
      <w:pPr>
        <w:pStyle w:val="BodyText"/>
      </w:pPr>
      <w:r w:rsidRPr="004B5C5D">
        <w:t>This unit of competency defines the skills and knowledge required to apply mechanical modelling techniques to computer-aided engineering (CAE). It includes model creation for purposes such as computer-aided manufacturing (CAM) and computer numerical contro</w:t>
      </w:r>
      <w:r w:rsidRPr="004B5C5D">
        <w:t>l (CNC) applications, rapid prototyping and stress analysis. It is also used as a basis for generating orthogonal drawings.</w:t>
      </w:r>
    </w:p>
    <w:p w:rsidR="00000000" w:rsidRPr="004B5C5D" w:rsidP="00513C3B">
      <w:pPr>
        <w:pStyle w:val="BodyText"/>
      </w:pPr>
      <w:r w:rsidRPr="004B5C5D">
        <w:t>This unit is suitable for people working in design drafting and those pursuing technical qualifications and careers at engineering t</w:t>
      </w:r>
      <w:r w:rsidRPr="004B5C5D">
        <w:t>echnician level.</w:t>
      </w:r>
    </w:p>
    <w:p w:rsidR="00000000" w:rsidRPr="004B5C5D" w:rsidP="00513C3B">
      <w:pPr>
        <w:pStyle w:val="BodyText"/>
      </w:pPr>
      <w:r w:rsidRPr="004B5C5D">
        <w:t>No licensing, legislative or certification requirements apply to this unit at the time of publication.</w:t>
      </w:r>
    </w:p>
    <w:p w:rsidR="00000000" w:rsidRPr="004B5C5D" w:rsidP="004B5C5D">
      <w:pPr>
        <w:pStyle w:val="Heading1"/>
      </w:pPr>
      <w:bookmarkStart w:id="3" w:name="O_949219"/>
      <w:bookmarkEnd w:id="3"/>
      <w:r w:rsidRPr="004B5C5D">
        <w:t>Pre-requisite Unit</w:t>
      </w:r>
    </w:p>
    <w:p w:rsidR="00000000" w:rsidRPr="004B5C5D" w:rsidP="00513C3B">
      <w:pPr>
        <w:pStyle w:val="List"/>
      </w:pPr>
      <w:r w:rsidRPr="004B5C5D">
        <w:t>MEM23004 Apply technical mathematics</w:t>
      </w:r>
    </w:p>
    <w:p w:rsidR="00000000" w:rsidRPr="004B5C5D" w:rsidP="00513C3B">
      <w:pPr>
        <w:pStyle w:val="List"/>
      </w:pPr>
      <w:r w:rsidRPr="004B5C5D">
        <w:t>MEM23109 Apply engineering mechanics principles</w:t>
      </w:r>
    </w:p>
    <w:p w:rsidR="00000000" w:rsidRPr="004B5C5D" w:rsidP="004B5C5D">
      <w:pPr>
        <w:pStyle w:val="AllowPageBreak"/>
      </w:pPr>
    </w:p>
    <w:p w:rsidR="00000000" w:rsidRPr="004B5C5D" w:rsidP="004B5C5D">
      <w:pPr>
        <w:pStyle w:val="Heading1"/>
      </w:pPr>
      <w:bookmarkStart w:id="4" w:name="O_949218"/>
      <w:bookmarkEnd w:id="4"/>
      <w:r w:rsidRPr="004B5C5D">
        <w:t>Competency Field</w:t>
      </w:r>
    </w:p>
    <w:p w:rsidR="00000000" w:rsidRPr="004B5C5D" w:rsidP="00513C3B">
      <w:pPr>
        <w:pStyle w:val="BodyText"/>
      </w:pPr>
      <w:r w:rsidRPr="004B5C5D">
        <w:t>Drawing, drafting and design</w:t>
      </w:r>
    </w:p>
    <w:p w:rsidR="00000000" w:rsidRPr="004B5C5D" w:rsidP="004B5C5D">
      <w:pPr>
        <w:pStyle w:val="Heading1"/>
      </w:pPr>
      <w:bookmarkStart w:id="5" w:name="O_949216"/>
      <w:bookmarkEnd w:id="5"/>
      <w:r w:rsidRPr="004B5C5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rPr>
                <w:rStyle w:val="SpecialBold"/>
              </w:rPr>
              <w:t>Performance Criteria</w:t>
            </w:r>
          </w:p>
        </w:tc>
      </w:tr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rPr>
                <w:rStyle w:val="Emphasis"/>
              </w:rPr>
              <w:t xml:space="preserve">Elements describe the </w:t>
            </w:r>
            <w:r w:rsidRPr="004B5C5D">
              <w:t xml:space="preserve">essential </w:t>
            </w:r>
            <w:r w:rsidRPr="004B5C5D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rPr>
                <w:rStyle w:val="Emphasis"/>
              </w:rPr>
              <w:t>Performance criteria describe the pe</w:t>
            </w:r>
            <w:r w:rsidRPr="004B5C5D">
              <w:rPr>
                <w:rStyle w:val="Emphasis"/>
              </w:rPr>
              <w:t>rformance needed to demonstrate achievement of the element.</w:t>
            </w:r>
          </w:p>
        </w:tc>
      </w:tr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t>1.1 Follow standard operating procedures (SOPs)</w:t>
            </w:r>
          </w:p>
          <w:p w:rsidR="00000000" w:rsidRPr="004B5C5D" w:rsidP="004B5C5D">
            <w:pPr>
              <w:pStyle w:val="BodyText"/>
            </w:pPr>
            <w:r w:rsidRPr="004B5C5D">
              <w:t>1.2 Comply with work health and safety (WHS) requirements at all times</w:t>
            </w:r>
          </w:p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1.3 Identify job requirements from specificati</w:t>
            </w:r>
            <w:r w:rsidRPr="004B5C5D">
              <w:t>ons</w:t>
            </w:r>
          </w:p>
        </w:tc>
      </w:tr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 xml:space="preserve">2. Identify model </w:t>
            </w:r>
            <w:r w:rsidRPr="004B5C5D">
              <w:t>parameters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t xml:space="preserve">2.1 Identify the engineering context of computer modelling from job </w:t>
            </w:r>
            <w:r w:rsidRPr="004B5C5D">
              <w:t>requirements</w:t>
            </w:r>
          </w:p>
          <w:p w:rsidR="00000000" w:rsidRPr="004B5C5D" w:rsidP="004B5C5D">
            <w:pPr>
              <w:pStyle w:val="BodyText"/>
            </w:pPr>
            <w:r w:rsidRPr="004B5C5D">
              <w:t>2.2 Determine sustainability issues related to required models</w:t>
            </w:r>
          </w:p>
          <w:p w:rsidR="00000000" w:rsidRPr="004B5C5D" w:rsidP="004B5C5D">
            <w:pPr>
              <w:pStyle w:val="BodyText"/>
            </w:pPr>
            <w:r w:rsidRPr="004B5C5D">
              <w:t>2.3 Determine the virtual or physical model parameters, form, function and fea</w:t>
            </w:r>
            <w:r w:rsidRPr="004B5C5D">
              <w:t>tures</w:t>
            </w:r>
          </w:p>
          <w:p w:rsidR="00000000" w:rsidRPr="004B5C5D" w:rsidP="004B5C5D">
            <w:pPr>
              <w:pStyle w:val="BodyText"/>
            </w:pPr>
            <w:r w:rsidRPr="004B5C5D">
              <w:t>2.4 Determine required model generation processes and any required graphics generation, post-processing and physical modelling</w:t>
            </w:r>
          </w:p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2.5 Identify licensed technical and professional assistance required</w:t>
            </w:r>
          </w:p>
        </w:tc>
      </w:tr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3. Develop model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t>3.1 Generate initial graphical model</w:t>
            </w:r>
            <w:r w:rsidRPr="004B5C5D">
              <w:t xml:space="preserve"> using identified processes</w:t>
            </w:r>
          </w:p>
          <w:p w:rsidR="00000000" w:rsidRPr="004B5C5D" w:rsidP="004B5C5D">
            <w:pPr>
              <w:pStyle w:val="BodyText"/>
            </w:pPr>
            <w:r w:rsidRPr="004B5C5D">
              <w:t>3.2 Consult with model stakeholders and make agreed adjustments</w:t>
            </w:r>
          </w:p>
          <w:p w:rsidR="00000000" w:rsidRPr="004B5C5D" w:rsidP="004B5C5D">
            <w:pPr>
              <w:pStyle w:val="BodyText"/>
            </w:pPr>
            <w:r w:rsidRPr="004B5C5D">
              <w:t>3.3 Prepare and trial model for intended purpose</w:t>
            </w:r>
          </w:p>
          <w:p w:rsidR="00000000" w:rsidRPr="004B5C5D" w:rsidP="004B5C5D">
            <w:pPr>
              <w:pStyle w:val="BodyText"/>
            </w:pPr>
            <w:r w:rsidRPr="004B5C5D">
              <w:t>3.4 Complete investigative analysis or produce physical model</w:t>
            </w:r>
          </w:p>
          <w:p w:rsidR="00000000" w:rsidRPr="004B5C5D" w:rsidP="004B5C5D">
            <w:pPr>
              <w:pStyle w:val="BodyText"/>
            </w:pPr>
            <w:r w:rsidRPr="004B5C5D">
              <w:t>3.5 Evaluate model against design criteria in consultation with stakeholders and make agreed adjustments</w:t>
            </w:r>
          </w:p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3.6 Engage appropriate licensed technical and professional assistance for advice</w:t>
            </w:r>
          </w:p>
        </w:tc>
      </w:tr>
      <w:tr w:rsidTr="0051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4. Finalise modelling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BodyText"/>
            </w:pPr>
            <w:r w:rsidRPr="004B5C5D">
              <w:t>4.1 Prepare final model as agreed</w:t>
            </w:r>
          </w:p>
          <w:p w:rsidR="00000000" w:rsidRPr="004B5C5D" w:rsidP="004B5C5D">
            <w:pPr>
              <w:pStyle w:val="BodyText"/>
            </w:pPr>
            <w:r w:rsidRPr="004B5C5D">
              <w:t>4.2 Report an</w:t>
            </w:r>
            <w:r w:rsidRPr="004B5C5D">
              <w:t>d demonstrate result</w:t>
            </w:r>
          </w:p>
          <w:p w:rsidR="00000000" w:rsidRPr="004B5C5D" w:rsidP="004B5C5D">
            <w:pPr>
              <w:pStyle w:val="BodyText"/>
            </w:pPr>
            <w:r w:rsidRPr="004B5C5D">
              <w:t>4.3 Provide documentation, instructions, models and files, and obtain sign-off in accordance with SOPs</w:t>
            </w:r>
          </w:p>
        </w:tc>
      </w:tr>
    </w:tbl>
    <w:p w:rsidR="00000000" w:rsidRPr="004B5C5D" w:rsidP="004B5C5D">
      <w:pPr>
        <w:pStyle w:val="BodyText"/>
      </w:pPr>
    </w:p>
    <w:p w:rsidR="00000000" w:rsidRPr="004B5C5D" w:rsidP="004B5C5D">
      <w:pPr>
        <w:pStyle w:val="AllowPageBreak"/>
      </w:pPr>
    </w:p>
    <w:p w:rsidR="00000000" w:rsidRPr="004B5C5D" w:rsidP="004B5C5D">
      <w:pPr>
        <w:pStyle w:val="Heading1"/>
      </w:pPr>
      <w:bookmarkStart w:id="6" w:name="O_949215"/>
      <w:bookmarkEnd w:id="6"/>
      <w:r w:rsidRPr="004B5C5D">
        <w:t>Foundation Skills</w:t>
      </w:r>
    </w:p>
    <w:p w:rsidR="00000000" w:rsidRPr="004B5C5D" w:rsidP="00513C3B">
      <w:pPr>
        <w:pStyle w:val="BodyText"/>
      </w:pPr>
      <w:r w:rsidRPr="004B5C5D">
        <w:t>This section describes those language, literacy, numeracy and employment skills that are essent</w:t>
      </w:r>
      <w:r w:rsidRPr="004B5C5D">
        <w:t>ial to performance.</w:t>
      </w:r>
    </w:p>
    <w:p w:rsidR="00000000" w:rsidRPr="004B5C5D" w:rsidP="00513C3B">
      <w:pPr>
        <w:pStyle w:val="BodyText"/>
      </w:pPr>
      <w:r w:rsidRPr="004B5C5D">
        <w:t>Foundation skills essential to performance are explicit in the performance criteria of this unit of competency.</w:t>
      </w:r>
    </w:p>
    <w:p w:rsidR="00000000" w:rsidRPr="004B5C5D" w:rsidP="004B5C5D">
      <w:pPr>
        <w:pStyle w:val="Heading1"/>
      </w:pPr>
      <w:bookmarkStart w:id="7" w:name="O_949214"/>
      <w:bookmarkEnd w:id="7"/>
      <w:r w:rsidRPr="004B5C5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This field allows for different work environments and conditions that may affect perfor</w:t>
            </w:r>
            <w:r w:rsidRPr="004B5C5D">
              <w:t>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job sheets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work instructions.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Stakeholders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team members</w:t>
            </w:r>
          </w:p>
          <w:p w:rsidR="00000000" w:rsidRPr="004B5C5D" w:rsidP="004B5C5D">
            <w:pPr>
              <w:pStyle w:val="ListBullet"/>
            </w:pPr>
            <w:r w:rsidRPr="004B5C5D">
              <w:t>cross-function support groups</w:t>
            </w:r>
          </w:p>
          <w:p w:rsidR="00000000" w:rsidRPr="004B5C5D" w:rsidP="004B5C5D">
            <w:pPr>
              <w:pStyle w:val="ListBullet"/>
            </w:pPr>
            <w:r w:rsidRPr="004B5C5D">
              <w:t>experts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appropriate licensed technicians and professionals.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Context for mechanical designs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function</w:t>
            </w:r>
          </w:p>
          <w:p w:rsidR="00000000" w:rsidRPr="004B5C5D" w:rsidP="004B5C5D">
            <w:pPr>
              <w:pStyle w:val="ListBullet"/>
            </w:pPr>
            <w:r w:rsidRPr="004B5C5D">
              <w:t>aesthetics</w:t>
            </w:r>
          </w:p>
          <w:p w:rsidR="00000000" w:rsidRPr="004B5C5D" w:rsidP="004B5C5D">
            <w:pPr>
              <w:pStyle w:val="ListBullet"/>
            </w:pPr>
            <w:r w:rsidRPr="004B5C5D">
              <w:t>manufacturability and maintainability</w:t>
            </w:r>
          </w:p>
          <w:p w:rsidR="00000000" w:rsidRPr="004B5C5D" w:rsidP="004B5C5D">
            <w:pPr>
              <w:pStyle w:val="ListBullet"/>
            </w:pPr>
            <w:r w:rsidRPr="004B5C5D">
              <w:t>marketability</w:t>
            </w:r>
          </w:p>
          <w:p w:rsidR="00000000" w:rsidRPr="004B5C5D" w:rsidP="004B5C5D">
            <w:pPr>
              <w:pStyle w:val="ListBullet"/>
            </w:pPr>
            <w:r w:rsidRPr="004B5C5D">
              <w:t>sustainability</w:t>
            </w:r>
          </w:p>
          <w:p w:rsidR="00000000" w:rsidRPr="004B5C5D" w:rsidP="004B5C5D">
            <w:pPr>
              <w:pStyle w:val="ListBullet"/>
            </w:pPr>
            <w:r w:rsidRPr="004B5C5D">
              <w:t>cost constraints</w:t>
            </w:r>
          </w:p>
          <w:p w:rsidR="00000000" w:rsidRPr="004B5C5D" w:rsidP="004B5C5D">
            <w:pPr>
              <w:pStyle w:val="ListBullet"/>
            </w:pPr>
            <w:r w:rsidRPr="004B5C5D">
              <w:t>ergonomics, anthropometrics and physiology</w:t>
            </w:r>
          </w:p>
          <w:p w:rsidR="00000000" w:rsidRPr="004B5C5D" w:rsidP="004B5C5D">
            <w:pPr>
              <w:pStyle w:val="ListBullet"/>
            </w:pPr>
            <w:r w:rsidRPr="004B5C5D">
              <w:t>facilities, plant and skills available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safety and risk.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Model creation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creating dimen</w:t>
            </w:r>
            <w:r w:rsidRPr="004B5C5D">
              <w:t>sioned orthographic projections from models</w:t>
            </w:r>
          </w:p>
          <w:p w:rsidR="00000000" w:rsidRPr="004B5C5D" w:rsidP="004B5C5D">
            <w:pPr>
              <w:pStyle w:val="BodyText"/>
            </w:pPr>
            <w:r w:rsidRPr="004B5C5D">
              <w:t>Plus one or more of the following:</w:t>
            </w:r>
          </w:p>
          <w:p w:rsidR="00000000" w:rsidRPr="004B5C5D" w:rsidP="004B5C5D">
            <w:pPr>
              <w:pStyle w:val="ListBullet"/>
            </w:pPr>
            <w:r w:rsidRPr="004B5C5D">
              <w:t>using and manipulating coordinate systems</w:t>
            </w:r>
          </w:p>
          <w:p w:rsidR="00000000" w:rsidRPr="004B5C5D" w:rsidP="004B5C5D">
            <w:pPr>
              <w:pStyle w:val="ListBullet"/>
            </w:pPr>
            <w:r w:rsidRPr="004B5C5D">
              <w:t>creating 3D entities, ruled and revolved surfaces</w:t>
            </w:r>
          </w:p>
          <w:p w:rsidR="00000000" w:rsidRPr="004B5C5D" w:rsidP="004B5C5D">
            <w:pPr>
              <w:pStyle w:val="ListBullet"/>
            </w:pPr>
            <w:r w:rsidRPr="004B5C5D">
              <w:t>creating solids</w:t>
            </w:r>
          </w:p>
          <w:p w:rsidR="00000000" w:rsidRPr="004B5C5D" w:rsidP="004B5C5D">
            <w:pPr>
              <w:pStyle w:val="ListBullet"/>
            </w:pPr>
            <w:r w:rsidRPr="004B5C5D">
              <w:t>editing and combining solids</w:t>
            </w:r>
          </w:p>
          <w:p w:rsidR="00000000" w:rsidRPr="004B5C5D" w:rsidP="004B5C5D">
            <w:pPr>
              <w:pStyle w:val="ListBullet"/>
            </w:pPr>
            <w:r w:rsidRPr="004B5C5D">
              <w:t>manipulating entities and solids</w:t>
            </w:r>
          </w:p>
          <w:p w:rsidR="00000000" w:rsidRPr="004B5C5D" w:rsidP="004B5C5D">
            <w:pPr>
              <w:pStyle w:val="ListBullet"/>
            </w:pPr>
            <w:r w:rsidRPr="004B5C5D">
              <w:t>manipulating library files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creating 3D graphics from models, including rotated views and sections.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Typical modelling 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computer modelling</w:t>
            </w:r>
          </w:p>
          <w:p w:rsidR="00000000" w:rsidRPr="004B5C5D" w:rsidP="004B5C5D">
            <w:pPr>
              <w:pStyle w:val="ListBullet"/>
            </w:pPr>
            <w:r w:rsidRPr="004B5C5D">
              <w:t>post-processing</w:t>
            </w:r>
          </w:p>
          <w:p w:rsidR="00000000" w:rsidRPr="004B5C5D" w:rsidP="004B5C5D">
            <w:pPr>
              <w:pStyle w:val="ListBullet"/>
            </w:pPr>
            <w:r w:rsidRPr="004B5C5D">
              <w:t>prototyping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model manufacture.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Appropriate licensed t</w:t>
            </w:r>
            <w:r w:rsidRPr="004B5C5D">
              <w:t>echnical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technical support and advice relating to elements which have intrinsic dangers</w:t>
            </w:r>
          </w:p>
          <w:p w:rsidR="00000000" w:rsidP="004B5C5D">
            <w:pPr>
              <w:pStyle w:val="ListBullet"/>
              <w:rPr>
                <w:lang w:val="en-NZ"/>
              </w:rPr>
            </w:pPr>
            <w:r w:rsidRPr="004B5C5D">
              <w:t>professional support for technologies.</w:t>
            </w:r>
          </w:p>
        </w:tc>
      </w:tr>
      <w:tr w:rsidTr="004B5C5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C5D">
            <w:pPr>
              <w:pStyle w:val="BodyText"/>
              <w:rPr>
                <w:lang w:val="en-NZ"/>
              </w:rPr>
            </w:pPr>
            <w:r w:rsidRPr="004B5C5D">
              <w:t>Modelling and related software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C5D" w:rsidP="004B5C5D">
            <w:pPr>
              <w:pStyle w:val="ListBullet"/>
            </w:pPr>
            <w:r w:rsidRPr="004B5C5D">
              <w:t>lumped parameter model</w:t>
            </w:r>
          </w:p>
          <w:p w:rsidR="00000000" w:rsidRPr="004B5C5D" w:rsidP="004B5C5D">
            <w:pPr>
              <w:pStyle w:val="ListBullet"/>
            </w:pPr>
            <w:r w:rsidRPr="004B5C5D">
              <w:t>empirical, random data tested model</w:t>
            </w:r>
          </w:p>
          <w:p w:rsidR="00000000" w:rsidRPr="004B5C5D" w:rsidP="004B5C5D">
            <w:pPr>
              <w:pStyle w:val="ListBullet"/>
            </w:pPr>
            <w:r w:rsidRPr="004B5C5D">
              <w:t>finite element analysis (FEA) software</w:t>
            </w:r>
          </w:p>
          <w:p w:rsidR="00000000" w:rsidRPr="004B5C5D" w:rsidP="004B5C5D">
            <w:pPr>
              <w:pStyle w:val="ListBullet"/>
            </w:pPr>
            <w:r w:rsidRPr="004B5C5D">
              <w:t>model-based design.</w:t>
            </w:r>
          </w:p>
        </w:tc>
      </w:tr>
    </w:tbl>
    <w:p w:rsidR="00000000" w:rsidRPr="004B5C5D" w:rsidP="004B5C5D">
      <w:pPr>
        <w:pStyle w:val="BodyText"/>
      </w:pPr>
    </w:p>
    <w:p w:rsidR="00000000" w:rsidRPr="004B5C5D" w:rsidP="004B5C5D">
      <w:pPr>
        <w:pStyle w:val="AllowPageBreak"/>
      </w:pPr>
    </w:p>
    <w:p w:rsidR="00000000" w:rsidRPr="004B5C5D" w:rsidP="004B5C5D">
      <w:pPr>
        <w:pStyle w:val="Heading1"/>
      </w:pPr>
      <w:bookmarkStart w:id="8" w:name="O_949213"/>
      <w:bookmarkEnd w:id="8"/>
      <w:r w:rsidRPr="004B5C5D">
        <w:t>Unit Mapping Information</w:t>
      </w:r>
    </w:p>
    <w:p w:rsidR="00000000" w:rsidRPr="004B5C5D" w:rsidP="00513C3B">
      <w:pPr>
        <w:pStyle w:val="BodyText"/>
      </w:pPr>
      <w:r w:rsidRPr="004B5C5D">
        <w:t>Release 1. Supersedes a</w:t>
      </w:r>
      <w:r w:rsidRPr="004B5C5D">
        <w:t>nd is equivalent to MEM09155A Prepare mechanical models for computer-aided engineering (CAE).</w:t>
      </w:r>
    </w:p>
    <w:p w:rsidR="00000000" w:rsidRPr="004B5C5D" w:rsidP="004B5C5D">
      <w:pPr>
        <w:pStyle w:val="Heading1"/>
      </w:pPr>
      <w:bookmarkStart w:id="9" w:name="O_949206"/>
      <w:bookmarkEnd w:id="9"/>
      <w:r w:rsidRPr="004B5C5D">
        <w:t>Links</w:t>
      </w:r>
    </w:p>
    <w:p w:rsidR="00000000" w:rsidRPr="004B5C5D" w:rsidP="00513C3B">
      <w:pPr>
        <w:pStyle w:val="BodyText"/>
      </w:pPr>
      <w:r w:rsidRPr="004B5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07FA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B5C5D" w:rsidP="004B5C5D"/>
    <w:sectPr w:rsidSect="004B5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5D" w:rsidRPr="00513C3B" w:rsidP="00513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3B" w:rsidP="004B5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C3B" w:rsidP="004B5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3C3B" w:rsidP="004B5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C5D" w:rsidRPr="00513C3B" w:rsidP="00513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3B" w:rsidRPr="002D2AF8" w:rsidP="004B5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MEM09155 Prepare mechanical models for computer-aided engineering (CAE)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13C3B" w:rsidP="004B5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38A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EF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C5D"/>
  </w:style>
  <w:style w:type="character" w:customStyle="1" w:styleId="Heading1Char">
    <w:name w:val="Heading 1 Char"/>
    <w:basedOn w:val="DefaultParagraphFont"/>
    <w:link w:val="Heading1"/>
    <w:rsid w:val="004B5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C5D"/>
    <w:rPr>
      <w:b/>
      <w:spacing w:val="0"/>
    </w:rPr>
  </w:style>
  <w:style w:type="character" w:styleId="Emphasis">
    <w:name w:val="Emphasis"/>
    <w:basedOn w:val="DefaultParagraphFont"/>
    <w:qFormat/>
    <w:rsid w:val="004B5C5D"/>
    <w:rPr>
      <w:i/>
    </w:rPr>
  </w:style>
  <w:style w:type="paragraph" w:customStyle="1" w:styleId="SuperHeading">
    <w:name w:val="SuperHeading"/>
    <w:basedOn w:val="Normal"/>
    <w:rsid w:val="004B5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C5D"/>
  </w:style>
  <w:style w:type="paragraph" w:styleId="TableofFigures">
    <w:name w:val="table of figures"/>
    <w:basedOn w:val="Normal"/>
    <w:next w:val="Normal"/>
    <w:semiHidden/>
    <w:rsid w:val="004B5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C5D"/>
    <w:rPr>
      <w:rFonts w:ascii="Wingdings" w:hAnsi="Wingdings"/>
    </w:rPr>
  </w:style>
  <w:style w:type="paragraph" w:customStyle="1" w:styleId="TableHeading">
    <w:name w:val="Table Heading"/>
    <w:basedOn w:val="HeadingBase"/>
    <w:rsid w:val="004B5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C5D"/>
    <w:rPr>
      <w:color w:val="0033CC"/>
      <w:u w:val="none"/>
    </w:rPr>
  </w:style>
  <w:style w:type="paragraph" w:customStyle="1" w:styleId="BodyTextRight">
    <w:name w:val="Body Text Right"/>
    <w:basedOn w:val="BodyText"/>
    <w:rsid w:val="004B5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C5D"/>
    <w:rPr>
      <w:sz w:val="32"/>
    </w:rPr>
  </w:style>
  <w:style w:type="paragraph" w:customStyle="1" w:styleId="HeadingProcedure">
    <w:name w:val="Heading Procedure"/>
    <w:basedOn w:val="HeadingBase"/>
    <w:next w:val="Normal"/>
    <w:rsid w:val="004B5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C5D"/>
    <w:pPr>
      <w:spacing w:before="60" w:after="60"/>
    </w:pPr>
  </w:style>
  <w:style w:type="paragraph" w:styleId="ListContinue">
    <w:name w:val="List Continue"/>
    <w:basedOn w:val="List"/>
    <w:rsid w:val="004B5C5D"/>
    <w:pPr>
      <w:ind w:firstLine="0"/>
    </w:pPr>
  </w:style>
  <w:style w:type="paragraph" w:customStyle="1" w:styleId="ListNote">
    <w:name w:val="List Note"/>
    <w:basedOn w:val="List"/>
    <w:rsid w:val="004B5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C5D"/>
    <w:rPr>
      <w:rFonts w:ascii="Courier New" w:hAnsi="Courier New"/>
    </w:rPr>
  </w:style>
  <w:style w:type="paragraph" w:customStyle="1" w:styleId="NoteBullet">
    <w:name w:val="Note Bullet"/>
    <w:basedOn w:val="Note"/>
    <w:rsid w:val="004B5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C5D"/>
    <w:rPr>
      <w:b/>
      <w:smallCaps/>
    </w:rPr>
  </w:style>
  <w:style w:type="paragraph" w:customStyle="1" w:styleId="TableListNumber">
    <w:name w:val="Table List Number"/>
    <w:basedOn w:val="ListNumber"/>
    <w:rsid w:val="004B5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C5D"/>
    <w:pPr>
      <w:numPr>
        <w:numId w:val="8"/>
      </w:numPr>
    </w:pPr>
  </w:style>
  <w:style w:type="paragraph" w:customStyle="1" w:styleId="ListAlpha2">
    <w:name w:val="List Alpha 2"/>
    <w:basedOn w:val="List2"/>
    <w:rsid w:val="004B5C5D"/>
    <w:pPr>
      <w:numPr>
        <w:numId w:val="7"/>
      </w:numPr>
    </w:pPr>
  </w:style>
  <w:style w:type="paragraph" w:styleId="List2">
    <w:name w:val="List 2"/>
    <w:basedOn w:val="BodyText"/>
    <w:rsid w:val="004B5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C5D"/>
    <w:pPr>
      <w:numPr>
        <w:numId w:val="3"/>
      </w:numPr>
    </w:pPr>
  </w:style>
  <w:style w:type="paragraph" w:styleId="ListContinue2">
    <w:name w:val="List Continue 2"/>
    <w:basedOn w:val="List2"/>
    <w:rsid w:val="004B5C5D"/>
    <w:pPr>
      <w:ind w:firstLine="0"/>
    </w:pPr>
  </w:style>
  <w:style w:type="paragraph" w:styleId="ListContinue3">
    <w:name w:val="List Continue 3"/>
    <w:basedOn w:val="List3"/>
    <w:rsid w:val="004B5C5D"/>
    <w:pPr>
      <w:ind w:left="1021" w:firstLine="0"/>
    </w:pPr>
  </w:style>
  <w:style w:type="paragraph" w:styleId="ListContinue4">
    <w:name w:val="List Continue 4"/>
    <w:basedOn w:val="List4"/>
    <w:rsid w:val="004B5C5D"/>
    <w:pPr>
      <w:ind w:firstLine="0"/>
    </w:pPr>
  </w:style>
  <w:style w:type="paragraph" w:styleId="ListContinue5">
    <w:name w:val="List Continue 5"/>
    <w:basedOn w:val="List5"/>
    <w:rsid w:val="004B5C5D"/>
    <w:pPr>
      <w:ind w:firstLine="0"/>
    </w:pPr>
  </w:style>
  <w:style w:type="paragraph" w:styleId="ListNumber3">
    <w:name w:val="List Number 3"/>
    <w:basedOn w:val="List3"/>
    <w:rsid w:val="004B5C5D"/>
    <w:pPr>
      <w:numPr>
        <w:numId w:val="4"/>
      </w:numPr>
    </w:pPr>
  </w:style>
  <w:style w:type="paragraph" w:styleId="ListNumber4">
    <w:name w:val="List Number 4"/>
    <w:basedOn w:val="List4"/>
    <w:rsid w:val="004B5C5D"/>
    <w:pPr>
      <w:numPr>
        <w:numId w:val="5"/>
      </w:numPr>
    </w:pPr>
  </w:style>
  <w:style w:type="paragraph" w:styleId="ListNumber5">
    <w:name w:val="List Number 5"/>
    <w:basedOn w:val="List5"/>
    <w:rsid w:val="004B5C5D"/>
    <w:pPr>
      <w:numPr>
        <w:numId w:val="6"/>
      </w:numPr>
    </w:pPr>
  </w:style>
  <w:style w:type="paragraph" w:styleId="BlockText">
    <w:name w:val="Block Text"/>
    <w:basedOn w:val="Normal"/>
    <w:rsid w:val="004B5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C5D"/>
    <w:rPr>
      <w:sz w:val="16"/>
      <w:vertAlign w:val="superscript"/>
    </w:rPr>
  </w:style>
  <w:style w:type="character" w:customStyle="1" w:styleId="Symbols">
    <w:name w:val="Symbols"/>
    <w:basedOn w:val="DefaultParagraphFont"/>
    <w:rsid w:val="004B5C5D"/>
    <w:rPr>
      <w:rFonts w:ascii="Symbol" w:hAnsi="Symbol"/>
    </w:rPr>
  </w:style>
  <w:style w:type="character" w:customStyle="1" w:styleId="MenuOptions">
    <w:name w:val="Menu Options"/>
    <w:basedOn w:val="DefaultParagraphFont"/>
    <w:rsid w:val="004B5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C5D"/>
    <w:rPr>
      <w:b/>
    </w:rPr>
  </w:style>
  <w:style w:type="character" w:customStyle="1" w:styleId="Underlined">
    <w:name w:val="Underlined"/>
    <w:basedOn w:val="DefaultParagraphFont"/>
    <w:rsid w:val="004B5C5D"/>
    <w:rPr>
      <w:u w:val="single"/>
    </w:rPr>
  </w:style>
  <w:style w:type="paragraph" w:customStyle="1" w:styleId="TableBodyTextRight">
    <w:name w:val="Table Body Text Right"/>
    <w:basedOn w:val="TableBodyText"/>
    <w:rsid w:val="004B5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C5D"/>
    <w:rPr>
      <w:sz w:val="18"/>
    </w:rPr>
  </w:style>
  <w:style w:type="paragraph" w:customStyle="1" w:styleId="BodySmallRight">
    <w:name w:val="Body Small Right"/>
    <w:basedOn w:val="BodyTextRight"/>
    <w:rsid w:val="004B5C5D"/>
    <w:rPr>
      <w:sz w:val="18"/>
      <w:szCs w:val="18"/>
    </w:rPr>
  </w:style>
  <w:style w:type="paragraph" w:customStyle="1" w:styleId="MarginEdition">
    <w:name w:val="Margin Edition"/>
    <w:basedOn w:val="MarginNote"/>
    <w:rsid w:val="004B5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C5D"/>
    <w:rPr>
      <w:sz w:val="2"/>
      <w:szCs w:val="2"/>
    </w:rPr>
  </w:style>
  <w:style w:type="character" w:customStyle="1" w:styleId="Small">
    <w:name w:val="Small"/>
    <w:basedOn w:val="DefaultParagraphFont"/>
    <w:rsid w:val="004B5C5D"/>
    <w:rPr>
      <w:sz w:val="16"/>
    </w:rPr>
  </w:style>
  <w:style w:type="paragraph" w:customStyle="1" w:styleId="WideTable">
    <w:name w:val="Wide Table"/>
    <w:basedOn w:val="Normal"/>
    <w:rsid w:val="004B5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C5D"/>
  </w:style>
  <w:style w:type="paragraph" w:styleId="Quote">
    <w:name w:val="Quote"/>
    <w:basedOn w:val="Heading1"/>
    <w:link w:val="QuoteChar"/>
    <w:qFormat/>
    <w:rsid w:val="004B5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C5D"/>
    <w:pPr>
      <w:pageBreakBefore/>
    </w:pPr>
  </w:style>
  <w:style w:type="paragraph" w:customStyle="1" w:styleId="Border">
    <w:name w:val="Border"/>
    <w:basedOn w:val="Normal"/>
    <w:qFormat/>
    <w:rsid w:val="004B5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C5D"/>
    <w:rPr>
      <w:u w:val="single"/>
    </w:rPr>
  </w:style>
  <w:style w:type="character" w:customStyle="1" w:styleId="BoldandItalics">
    <w:name w:val="Bold and Italics"/>
    <w:qFormat/>
    <w:rsid w:val="004B5C5D"/>
    <w:rPr>
      <w:b/>
      <w:i/>
      <w:u w:val="none"/>
    </w:rPr>
  </w:style>
  <w:style w:type="paragraph" w:styleId="BalloonText">
    <w:name w:val="Balloon Text"/>
    <w:basedOn w:val="Normal"/>
    <w:link w:val="BalloonTextChar"/>
    <w:rsid w:val="004B5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C5D"/>
    <w:pPr>
      <w:spacing w:before="0" w:after="0"/>
    </w:pPr>
  </w:style>
  <w:style w:type="paragraph" w:customStyle="1" w:styleId="BodyTextBold">
    <w:name w:val="Body Text Bold"/>
    <w:basedOn w:val="BodyText"/>
    <w:qFormat/>
    <w:rsid w:val="004B5C5D"/>
    <w:rPr>
      <w:b/>
    </w:rPr>
  </w:style>
  <w:style w:type="character" w:styleId="Hyperlink">
    <w:name w:val="Hyperlink"/>
    <w:basedOn w:val="DefaultParagraphFont"/>
    <w:uiPriority w:val="99"/>
    <w:unhideWhenUsed/>
    <w:rsid w:val="00513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4404</Characters>
  <Application>Microsoft Office Word</Application>
  <DocSecurity>0</DocSecurity>
  <Lines>146</Lines>
  <Paragraphs>105</Paragraphs>
  <ScaleCrop>false</ScaleCrop>
  <Company>Author-it Software Corporation Ltd.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MEM09155 Prepare mechanical models for computer-aided engineering (CAE)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