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5B4" w:rsidP="00BD55B4">
      <w:pPr>
        <w:pStyle w:val="Title"/>
      </w:pPr>
      <w:r>
        <w:fldChar w:fldCharType="begin"/>
      </w:r>
      <w:r>
        <w:instrText xml:space="preserve"> TITLE   \* MERGEFORMAT </w:instrText>
      </w:r>
      <w:r>
        <w:fldChar w:fldCharType="separate"/>
      </w:r>
      <w:r>
        <w:t>MEM09003 Prepare basic engineering drawing</w:t>
      </w:r>
      <w:r>
        <w:fldChar w:fldCharType="end"/>
      </w:r>
    </w:p>
    <w:p w:rsidR="00BD55B4" w:rsidP="00BD55B4">
      <w:pPr>
        <w:pStyle w:val="Version"/>
        <w:sectPr w:rsidSect="002B0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1E5" w:rsidP="002B01E5">
      <w:pPr>
        <w:pStyle w:val="SuperHeading"/>
      </w:pPr>
      <w:r w:rsidRPr="002B01E5">
        <w:t>MEM09003 Prepare basic engineering drawing</w:t>
      </w:r>
    </w:p>
    <w:p w:rsidR="00000000" w:rsidRPr="002B01E5" w:rsidP="002B01E5">
      <w:pPr>
        <w:pStyle w:val="Heading1"/>
      </w:pPr>
      <w:bookmarkStart w:id="1" w:name="O_959823"/>
      <w:bookmarkEnd w:id="1"/>
      <w:r w:rsidRPr="002B01E5">
        <w:t>Modification History</w:t>
      </w:r>
    </w:p>
    <w:p w:rsidR="00000000" w:rsidRPr="002B01E5" w:rsidP="00BD55B4">
      <w:pPr>
        <w:pStyle w:val="BodyText"/>
      </w:pPr>
      <w:r w:rsidRPr="002B01E5">
        <w:t xml:space="preserve">Release 1. Supersedes and is equivalent to MEM09003B Prepare basic engineering drawing </w:t>
      </w:r>
    </w:p>
    <w:p w:rsidR="00000000" w:rsidRPr="002B01E5" w:rsidP="002B01E5">
      <w:pPr>
        <w:pStyle w:val="Heading1"/>
      </w:pPr>
      <w:bookmarkStart w:id="2" w:name="O_959831"/>
      <w:bookmarkEnd w:id="2"/>
      <w:r w:rsidRPr="002B01E5">
        <w:t>Application</w:t>
      </w:r>
    </w:p>
    <w:p w:rsidR="00000000" w:rsidRPr="002B01E5" w:rsidP="00BD55B4">
      <w:pPr>
        <w:pStyle w:val="BodyText"/>
      </w:pPr>
      <w:r w:rsidRPr="002B01E5">
        <w:t>This unit of competency defines the skills and knowledge required to prepare basic engineering drawings across mechani</w:t>
      </w:r>
      <w:r w:rsidRPr="002B01E5">
        <w:t>cal, electrical/electronic, fabrication and fluid power applications, and includes preparing new drawings or changing existing drawings. Manual and computer aided drafting and drawing equipment can be used. Preparation of parts lists and issuing of drawing</w:t>
      </w:r>
      <w:r w:rsidRPr="002B01E5">
        <w:t xml:space="preserve"> documents is included.</w:t>
      </w:r>
    </w:p>
    <w:p w:rsidR="00000000" w:rsidRPr="002B01E5" w:rsidP="00BD55B4">
      <w:pPr>
        <w:pStyle w:val="BodyText"/>
      </w:pPr>
      <w:r w:rsidRPr="002B01E5">
        <w:t xml:space="preserve">Specifications for drawings are pre-determined and are obtained from design information, customer requirements, sketches and preliminary layouts. </w:t>
      </w:r>
    </w:p>
    <w:p w:rsidR="00000000" w:rsidRPr="002B01E5" w:rsidP="00BD55B4">
      <w:pPr>
        <w:pStyle w:val="BodyText"/>
      </w:pPr>
      <w:r w:rsidRPr="002B01E5">
        <w:t xml:space="preserve">Where a more extensive computer-aided design (CAD) system is used for design, unit </w:t>
      </w:r>
      <w:r w:rsidRPr="002B01E5">
        <w:t>MEM09009 Create 2-D drawings using computer-aided design system should be selected.</w:t>
      </w:r>
    </w:p>
    <w:p w:rsidR="00000000" w:rsidRPr="002B01E5" w:rsidP="00BD55B4">
      <w:pPr>
        <w:pStyle w:val="BodyText"/>
      </w:pPr>
      <w:r w:rsidRPr="002B01E5">
        <w:t>No licensing, legislative or certification requirements apply to this unit at the time of publication.</w:t>
      </w:r>
    </w:p>
    <w:p w:rsidR="00000000" w:rsidRPr="002B01E5" w:rsidP="002B01E5">
      <w:pPr>
        <w:pStyle w:val="BodyText"/>
      </w:pPr>
      <w:r w:rsidRPr="002B01E5">
        <w:rPr>
          <w:rStyle w:val="SpecialBold"/>
        </w:rPr>
        <w:t>Band</w:t>
      </w:r>
      <w:r w:rsidRPr="002B01E5">
        <w:t>:</w:t>
      </w:r>
      <w:r w:rsidRPr="002B01E5">
        <w:tab/>
      </w:r>
      <w:r w:rsidRPr="002B01E5">
        <w:rPr>
          <w:rStyle w:val="SpecialBold"/>
        </w:rPr>
        <w:t>A</w:t>
      </w:r>
    </w:p>
    <w:p w:rsidR="00000000" w:rsidRPr="002B01E5" w:rsidP="002B01E5">
      <w:pPr>
        <w:pStyle w:val="BodyText"/>
      </w:pPr>
      <w:r w:rsidRPr="002B01E5">
        <w:rPr>
          <w:rStyle w:val="SpecialBold"/>
        </w:rPr>
        <w:t>Unit Weight</w:t>
      </w:r>
      <w:r w:rsidRPr="002B01E5">
        <w:t>:</w:t>
      </w:r>
      <w:r w:rsidRPr="002B01E5">
        <w:tab/>
      </w:r>
      <w:r w:rsidRPr="002B01E5">
        <w:rPr>
          <w:rStyle w:val="SpecialBold"/>
        </w:rPr>
        <w:t>8</w:t>
      </w:r>
    </w:p>
    <w:p w:rsidR="00000000" w:rsidRPr="002B01E5" w:rsidP="002B01E5">
      <w:pPr>
        <w:pStyle w:val="AllowPageBreak"/>
      </w:pPr>
    </w:p>
    <w:p w:rsidR="00000000" w:rsidRPr="002B01E5" w:rsidP="002B01E5">
      <w:pPr>
        <w:pStyle w:val="Heading1"/>
      </w:pPr>
      <w:bookmarkStart w:id="3" w:name="O_959830"/>
      <w:bookmarkEnd w:id="3"/>
      <w:r w:rsidRPr="002B01E5">
        <w:t>Pre-requisite Unit</w:t>
      </w:r>
    </w:p>
    <w:tbl>
      <w:tblPr>
        <w:tblW w:w="9378" w:type="dxa"/>
        <w:tblLayout w:type="fixed"/>
        <w:tblCellMar>
          <w:left w:w="62" w:type="dxa"/>
          <w:right w:w="62" w:type="dxa"/>
        </w:tblCellMar>
        <w:tblLook w:val="0000"/>
      </w:tblPr>
      <w:tblGrid>
        <w:gridCol w:w="1754"/>
        <w:gridCol w:w="7624"/>
      </w:tblGrid>
      <w:tr w:rsidTr="002B01E5">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MEM09002</w:t>
            </w:r>
          </w:p>
        </w:tc>
        <w:tc>
          <w:tcPr>
            <w:tcW w:w="76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Interpret technical drawing</w:t>
            </w:r>
          </w:p>
        </w:tc>
      </w:tr>
      <w:tr w:rsidTr="002B01E5">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MEM12023</w:t>
            </w:r>
          </w:p>
        </w:tc>
        <w:tc>
          <w:tcPr>
            <w:tcW w:w="76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Perform engineering measurements</w:t>
            </w:r>
          </w:p>
        </w:tc>
      </w:tr>
      <w:tr w:rsidTr="002B01E5">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MEM12024</w:t>
            </w:r>
          </w:p>
        </w:tc>
        <w:tc>
          <w:tcPr>
            <w:tcW w:w="76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Perform computations</w:t>
            </w:r>
          </w:p>
        </w:tc>
      </w:tr>
      <w:tr w:rsidTr="002B01E5">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MEM13015</w:t>
            </w:r>
          </w:p>
        </w:tc>
        <w:tc>
          <w:tcPr>
            <w:tcW w:w="76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Work safely and effectively in manufacturing and engineering</w:t>
            </w:r>
          </w:p>
        </w:tc>
      </w:tr>
      <w:tr w:rsidTr="002B01E5">
        <w:tblPrEx>
          <w:tblW w:w="9378"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MEM16006</w:t>
            </w:r>
          </w:p>
        </w:tc>
        <w:tc>
          <w:tcPr>
            <w:tcW w:w="7624" w:type="dxa"/>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t>Organise and communicate information</w:t>
            </w:r>
          </w:p>
        </w:tc>
      </w:tr>
    </w:tbl>
    <w:p w:rsidR="00000000" w:rsidRPr="002B01E5" w:rsidP="002B01E5">
      <w:pPr>
        <w:pStyle w:val="BodyText"/>
      </w:pPr>
    </w:p>
    <w:p w:rsidR="00000000" w:rsidRPr="002B01E5" w:rsidP="002B01E5">
      <w:pPr>
        <w:pStyle w:val="AllowPageBreak"/>
      </w:pPr>
    </w:p>
    <w:p w:rsidR="00000000" w:rsidRPr="002B01E5" w:rsidP="002B01E5">
      <w:pPr>
        <w:pStyle w:val="Heading1"/>
      </w:pPr>
      <w:bookmarkStart w:id="4" w:name="O_959829"/>
      <w:bookmarkEnd w:id="4"/>
      <w:r w:rsidRPr="002B01E5">
        <w:t>Competency Field</w:t>
      </w:r>
    </w:p>
    <w:p w:rsidR="00000000" w:rsidRPr="002B01E5" w:rsidP="00BD55B4">
      <w:pPr>
        <w:pStyle w:val="BodyText"/>
      </w:pPr>
      <w:r w:rsidRPr="002B01E5">
        <w:t>Drawing, drafting and design</w:t>
      </w:r>
    </w:p>
    <w:p w:rsidR="00000000" w:rsidRPr="002B01E5" w:rsidP="002B01E5">
      <w:pPr>
        <w:pStyle w:val="Heading1"/>
      </w:pPr>
      <w:bookmarkStart w:id="5" w:name="O_959827"/>
      <w:bookmarkEnd w:id="5"/>
      <w:r w:rsidRPr="002B01E5">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BD55B4">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Performance criteria describe the performance needed to demonstrate achievement of the element.</w:t>
            </w:r>
          </w:p>
        </w:tc>
      </w:tr>
      <w:tr w:rsidTr="00BD55B4">
        <w:tblPrEx>
          <w:tblW w:w="9639" w:type="dxa"/>
          <w:tblLayout w:type="fixed"/>
          <w:tblCellMar>
            <w:left w:w="62" w:type="dxa"/>
            <w:right w:w="62" w:type="dxa"/>
          </w:tblCellMar>
          <w:tblLook w:val="0000"/>
        </w:tblPrEx>
        <w:trPr>
          <w:trHeight w:val="303"/>
        </w:trPr>
        <w:tc>
          <w:tcPr>
            <w:tcW w:w="680" w:type="dxa"/>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t>1</w:t>
            </w:r>
          </w:p>
        </w:tc>
        <w:tc>
          <w:tcPr>
            <w:tcW w:w="2155"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Determine job requirements</w:t>
            </w: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1.1</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Follow standard operating procedures (SOPs)</w:t>
            </w:r>
          </w:p>
        </w:tc>
      </w:tr>
      <w:tr w:rsidTr="00BD55B4">
        <w:tblPrEx>
          <w:tblW w:w="9639" w:type="dxa"/>
          <w:tblLayout w:type="fixed"/>
          <w:tblCellMar>
            <w:left w:w="62" w:type="dxa"/>
            <w:right w:w="62" w:type="dxa"/>
          </w:tblCellMar>
          <w:tblLook w:val="0000"/>
        </w:tblPrEx>
        <w:trPr>
          <w:trHeight w:val="30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1.2</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Comply with work health and safety (WHS) requirements at all times</w:t>
            </w:r>
          </w:p>
        </w:tc>
      </w:tr>
      <w:tr w:rsidTr="00BD55B4">
        <w:tblPrEx>
          <w:tblW w:w="9639" w:type="dxa"/>
          <w:tblLayout w:type="fixed"/>
          <w:tblCellMar>
            <w:left w:w="62" w:type="dxa"/>
            <w:right w:w="62" w:type="dxa"/>
          </w:tblCellMar>
          <w:tblLook w:val="0000"/>
        </w:tblPrEx>
        <w:trPr>
          <w:trHeight w:val="30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1.3</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Use appropriate personal protective equipment (PPE) in accordance with SOPs</w:t>
            </w:r>
          </w:p>
        </w:tc>
      </w:tr>
      <w:tr w:rsidTr="00BD55B4">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1.4</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Identify job requirements and purpose of drawing from specifications, associated documents or work instructions</w:t>
            </w:r>
          </w:p>
        </w:tc>
      </w:tr>
      <w:tr w:rsidTr="00BD55B4">
        <w:tblPrEx>
          <w:tblW w:w="9639" w:type="dxa"/>
          <w:tblLayout w:type="fixed"/>
          <w:tblCellMar>
            <w:left w:w="62" w:type="dxa"/>
            <w:right w:w="62" w:type="dxa"/>
          </w:tblCellMar>
          <w:tblLook w:val="0000"/>
        </w:tblPrEx>
        <w:trPr>
          <w:trHeight w:val="49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1.5</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Identify and collect all data necessary to produce the drawing</w:t>
            </w:r>
          </w:p>
        </w:tc>
      </w:tr>
      <w:tr w:rsidTr="00BD55B4">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1.6</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Confirm drawing requirements and method with relevant personnel and establish timeframes for completion</w:t>
            </w:r>
          </w:p>
        </w:tc>
      </w:tr>
      <w:tr w:rsidTr="00BD55B4">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p>
        </w:tc>
      </w:tr>
      <w:tr w:rsidTr="00BD55B4">
        <w:tblPrEx>
          <w:tblW w:w="9639" w:type="dxa"/>
          <w:tblLayout w:type="fixed"/>
          <w:tblCellMar>
            <w:left w:w="62" w:type="dxa"/>
            <w:right w:w="62" w:type="dxa"/>
          </w:tblCellMar>
          <w:tblLook w:val="0000"/>
        </w:tblPrEx>
        <w:trPr>
          <w:trHeight w:val="536"/>
        </w:trPr>
        <w:tc>
          <w:tcPr>
            <w:tcW w:w="680" w:type="dxa"/>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t>2</w:t>
            </w:r>
          </w:p>
        </w:tc>
        <w:tc>
          <w:tcPr>
            <w:tcW w:w="2155" w:type="dxa"/>
            <w:vMerge w:val="restart"/>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rPr>
                <w:rStyle w:val="SpecialBold"/>
              </w:rPr>
              <w:t>Prepare or make changes to engineering drawing</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2.1</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Select drafting equipment appropriate to the drawing method chosen</w:t>
            </w:r>
          </w:p>
        </w:tc>
      </w:tr>
      <w:tr w:rsidTr="00BD55B4">
        <w:tblPrEx>
          <w:tblW w:w="9639" w:type="dxa"/>
          <w:tblLayout w:type="fixed"/>
          <w:tblCellMar>
            <w:left w:w="62" w:type="dxa"/>
            <w:right w:w="62" w:type="dxa"/>
          </w:tblCellMar>
          <w:tblLook w:val="0000"/>
        </w:tblPrEx>
        <w:trPr>
          <w:trHeight w:val="654"/>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2.2</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Apply drafting principles to produce a drawing that is consistent with SOPs, in consultation with supervisor, as required</w:t>
            </w: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2.3</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Ensure completed drawing is approved in accordance with SOPs</w:t>
            </w: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t>3</w:t>
            </w:r>
          </w:p>
        </w:tc>
        <w:tc>
          <w:tcPr>
            <w:tcW w:w="2155"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Prepare engineering parts list</w:t>
            </w: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3.1</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Identify components parts and organise by component type in accordance with SOPs and customer requirements</w:t>
            </w: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t>4</w:t>
            </w:r>
          </w:p>
        </w:tc>
        <w:tc>
          <w:tcPr>
            <w:tcW w:w="2155"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Issue drawing</w:t>
            </w: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4.1</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Complete drawings and parts lists records in accordance with SOPs</w:t>
            </w: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4.2</w:t>
            </w:r>
          </w:p>
        </w:tc>
        <w:tc>
          <w:tcPr>
            <w:tcW w:w="6124"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Copy approved drawings and parts lists and</w:t>
            </w:r>
            <w:r w:rsidRPr="002B01E5">
              <w:t xml:space="preserve"> issue to relevant personnel</w:t>
            </w:r>
          </w:p>
        </w:tc>
      </w:tr>
      <w:tr w:rsidTr="00BD55B4">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4.3</w:t>
            </w:r>
          </w:p>
        </w:tc>
        <w:tc>
          <w:tcPr>
            <w:tcW w:w="6124" w:type="dxa"/>
            <w:tcBorders>
              <w:top w:val="nil"/>
              <w:left w:val="nil"/>
              <w:bottom w:val="nil"/>
              <w:right w:val="nil"/>
            </w:tcBorders>
            <w:tcMar>
              <w:top w:w="0" w:type="dxa"/>
              <w:left w:w="62" w:type="dxa"/>
              <w:bottom w:w="0" w:type="dxa"/>
              <w:right w:w="62" w:type="dxa"/>
            </w:tcMar>
          </w:tcPr>
          <w:p w:rsidR="00000000" w:rsidRPr="002B01E5" w:rsidP="002B01E5">
            <w:pPr>
              <w:pStyle w:val="BodyText"/>
            </w:pPr>
            <w:r w:rsidRPr="002B01E5">
              <w:t>Store approved drawings and parts lists, and catalogue in accordance with SOPs</w:t>
            </w:r>
          </w:p>
        </w:tc>
      </w:tr>
    </w:tbl>
    <w:p w:rsidR="00000000" w:rsidRPr="002B01E5" w:rsidP="002B01E5">
      <w:pPr>
        <w:pStyle w:val="BodyText"/>
      </w:pPr>
    </w:p>
    <w:p w:rsidR="00000000" w:rsidRPr="002B01E5" w:rsidP="002B01E5">
      <w:pPr>
        <w:pStyle w:val="AllowPageBreak"/>
      </w:pPr>
    </w:p>
    <w:p w:rsidR="00000000" w:rsidRPr="002B01E5" w:rsidP="002B01E5">
      <w:pPr>
        <w:pStyle w:val="Heading1"/>
      </w:pPr>
      <w:bookmarkStart w:id="6" w:name="O_959826"/>
      <w:bookmarkEnd w:id="6"/>
      <w:r w:rsidRPr="002B01E5">
        <w:t>Foundation Skills</w:t>
      </w:r>
    </w:p>
    <w:p w:rsidR="00000000" w:rsidRPr="002B01E5" w:rsidP="00BD55B4">
      <w:pPr>
        <w:pStyle w:val="BodyText"/>
      </w:pPr>
      <w:r w:rsidRPr="002B01E5">
        <w:t>This section describes those required skills (reading, writing, oral communication and numeracy) that ar</w:t>
      </w:r>
      <w:r w:rsidRPr="002B01E5">
        <w:t xml:space="preserve">e essential to workplace performance in this unit of competency.  </w:t>
      </w:r>
    </w:p>
    <w:p w:rsidR="00000000" w:rsidRPr="002B01E5" w:rsidP="00BD55B4">
      <w:pPr>
        <w:pStyle w:val="BodyText"/>
      </w:pPr>
      <w:r w:rsidRPr="002B01E5">
        <w:t>Foundation skills essential to performance are explicit in the performance criteria of this unit of competency.</w:t>
      </w:r>
    </w:p>
    <w:p w:rsidR="00000000" w:rsidRPr="002B01E5" w:rsidP="002B01E5">
      <w:pPr>
        <w:pStyle w:val="Heading1"/>
      </w:pPr>
      <w:bookmarkStart w:id="7" w:name="O_959825"/>
      <w:bookmarkEnd w:id="7"/>
      <w:r w:rsidRPr="002B01E5">
        <w:t>Range of Conditions</w:t>
      </w:r>
    </w:p>
    <w:tbl>
      <w:tblPr>
        <w:tblW w:w="0" w:type="auto"/>
        <w:tblLayout w:type="fixed"/>
        <w:tblCellMar>
          <w:left w:w="62" w:type="dxa"/>
          <w:right w:w="62" w:type="dxa"/>
        </w:tblCellMar>
        <w:tblLook w:val="0000"/>
      </w:tblPr>
      <w:tblGrid>
        <w:gridCol w:w="2851"/>
        <w:gridCol w:w="6311"/>
      </w:tblGrid>
      <w:tr w:rsidTr="002B01E5">
        <w:tblPrEx>
          <w:tblW w:w="0" w:type="auto"/>
          <w:tblLayout w:type="fixed"/>
          <w:tblCellMar>
            <w:left w:w="62" w:type="dxa"/>
            <w:right w:w="62" w:type="dxa"/>
          </w:tblCellMar>
          <w:tblLook w:val="0000"/>
        </w:tblPrEx>
        <w:trPr>
          <w:tblHeader/>
        </w:trPr>
        <w:tc>
          <w:tcPr>
            <w:tcW w:w="9162" w:type="dxa"/>
            <w:gridSpan w:val="2"/>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t>This field allows for different work en</w:t>
            </w:r>
            <w:r w:rsidRPr="002B01E5">
              <w:t>vironments and conditions that may affect performance. Essential operating conditions that may be present (depending on the work situation, needs of the candidate, accessibility of the item, and local industry and regional contexts) are included.</w:t>
            </w:r>
          </w:p>
        </w:tc>
      </w:tr>
      <w:tr w:rsidTr="002B01E5">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Relevant personnel include one (1) or more of the following:</w:t>
            </w:r>
          </w:p>
        </w:tc>
        <w:tc>
          <w:tcPr>
            <w:tcW w:w="6311" w:type="dxa"/>
            <w:tcBorders>
              <w:top w:val="nil"/>
              <w:left w:val="nil"/>
              <w:bottom w:val="nil"/>
              <w:right w:val="nil"/>
            </w:tcBorders>
            <w:tcMar>
              <w:top w:w="0" w:type="dxa"/>
              <w:left w:w="62" w:type="dxa"/>
              <w:bottom w:w="0" w:type="dxa"/>
              <w:right w:w="62" w:type="dxa"/>
            </w:tcMar>
          </w:tcPr>
          <w:p w:rsidR="00000000" w:rsidRPr="002B01E5" w:rsidP="002B01E5">
            <w:pPr>
              <w:pStyle w:val="ListBullet"/>
            </w:pPr>
            <w:r w:rsidRPr="002B01E5">
              <w:t>technical personnel</w:t>
            </w:r>
          </w:p>
          <w:p w:rsidR="00000000" w:rsidRPr="002B01E5" w:rsidP="002B01E5">
            <w:pPr>
              <w:pStyle w:val="ListBullet"/>
            </w:pPr>
            <w:r w:rsidRPr="002B01E5">
              <w:t>supervisors</w:t>
            </w:r>
          </w:p>
          <w:p w:rsidR="00000000" w:rsidRPr="002B01E5" w:rsidP="002B01E5">
            <w:pPr>
              <w:pStyle w:val="ListBullet"/>
            </w:pPr>
            <w:r w:rsidRPr="002B01E5">
              <w:t>manufacturers</w:t>
            </w:r>
          </w:p>
          <w:p w:rsidR="00000000" w:rsidRPr="002B01E5" w:rsidP="002B01E5">
            <w:pPr>
              <w:pStyle w:val="ListBullet"/>
            </w:pPr>
            <w:r w:rsidRPr="002B01E5">
              <w:t>suppliers</w:t>
            </w:r>
          </w:p>
          <w:p w:rsidR="00000000" w:rsidRPr="002B01E5" w:rsidP="002B01E5">
            <w:pPr>
              <w:pStyle w:val="ListBullet"/>
            </w:pPr>
            <w:r w:rsidRPr="002B01E5">
              <w:t>contractors</w:t>
            </w:r>
          </w:p>
          <w:p w:rsidR="00000000" w:rsidRPr="002B01E5" w:rsidP="002B01E5">
            <w:pPr>
              <w:pStyle w:val="ListBullet"/>
            </w:pPr>
            <w:r w:rsidRPr="002B01E5">
              <w:t>customers</w:t>
            </w:r>
          </w:p>
          <w:p w:rsidR="00000000" w:rsidP="002B01E5">
            <w:pPr>
              <w:pStyle w:val="BodyText"/>
              <w:rPr>
                <w:lang w:val="en-NZ"/>
              </w:rPr>
            </w:pPr>
          </w:p>
        </w:tc>
      </w:tr>
      <w:tr w:rsidTr="002B01E5">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Drafting principles include the following:</w:t>
            </w:r>
          </w:p>
        </w:tc>
        <w:tc>
          <w:tcPr>
            <w:tcW w:w="6311" w:type="dxa"/>
            <w:tcBorders>
              <w:top w:val="nil"/>
              <w:left w:val="nil"/>
              <w:bottom w:val="nil"/>
              <w:right w:val="nil"/>
            </w:tcBorders>
            <w:tcMar>
              <w:top w:w="0" w:type="dxa"/>
              <w:left w:w="62" w:type="dxa"/>
              <w:bottom w:w="0" w:type="dxa"/>
              <w:right w:w="62" w:type="dxa"/>
            </w:tcMar>
          </w:tcPr>
          <w:p w:rsidR="00000000" w:rsidRPr="002B01E5" w:rsidP="002B01E5">
            <w:pPr>
              <w:pStyle w:val="ListBullet"/>
            </w:pPr>
            <w:r w:rsidRPr="002B01E5">
              <w:t>interpreting AS 1100.101-1992 (R2014) Technical drawing –</w:t>
            </w:r>
            <w:r w:rsidRPr="002B01E5">
              <w:t xml:space="preserve"> General principles as required to prepare drawing</w:t>
            </w:r>
          </w:p>
          <w:p w:rsidR="00000000" w:rsidRPr="002B01E5" w:rsidP="002B01E5">
            <w:pPr>
              <w:pStyle w:val="ListBullet"/>
            </w:pPr>
            <w:r w:rsidRPr="002B01E5">
              <w:t>preparing drawings in accordance with AS 1100.101-1992 (R2014) Technical drawing – General principles, or equivalent, as required</w:t>
            </w:r>
          </w:p>
          <w:p w:rsidR="00000000" w:rsidP="002B01E5">
            <w:pPr>
              <w:pStyle w:val="BodyText"/>
              <w:rPr>
                <w:lang w:val="en-NZ"/>
              </w:rPr>
            </w:pPr>
          </w:p>
        </w:tc>
      </w:tr>
      <w:tr w:rsidTr="002B01E5">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Completing records include one (1) or more of the following:</w:t>
            </w:r>
          </w:p>
        </w:tc>
        <w:tc>
          <w:tcPr>
            <w:tcW w:w="6311" w:type="dxa"/>
            <w:tcBorders>
              <w:top w:val="nil"/>
              <w:left w:val="nil"/>
              <w:bottom w:val="nil"/>
              <w:right w:val="nil"/>
            </w:tcBorders>
            <w:tcMar>
              <w:top w:w="0" w:type="dxa"/>
              <w:left w:w="62" w:type="dxa"/>
              <w:bottom w:w="0" w:type="dxa"/>
              <w:right w:w="62" w:type="dxa"/>
            </w:tcMar>
          </w:tcPr>
          <w:p w:rsidR="00000000" w:rsidRPr="002B01E5" w:rsidP="002B01E5">
            <w:pPr>
              <w:pStyle w:val="ListBullet"/>
            </w:pPr>
            <w:r w:rsidRPr="002B01E5">
              <w:t>cataloguing</w:t>
            </w:r>
            <w:r w:rsidRPr="002B01E5">
              <w:t xml:space="preserve"> </w:t>
            </w:r>
          </w:p>
          <w:p w:rsidR="00000000" w:rsidRPr="002B01E5" w:rsidP="002B01E5">
            <w:pPr>
              <w:pStyle w:val="ListBullet"/>
            </w:pPr>
            <w:r w:rsidRPr="002B01E5">
              <w:t>issuing security classifications</w:t>
            </w:r>
          </w:p>
          <w:p w:rsidR="00000000" w:rsidRPr="002B01E5" w:rsidP="002B01E5">
            <w:pPr>
              <w:pStyle w:val="ListBullet"/>
            </w:pPr>
            <w:r w:rsidRPr="002B01E5">
              <w:t>filing</w:t>
            </w:r>
          </w:p>
          <w:p w:rsidR="00000000" w:rsidRPr="002B01E5" w:rsidP="002B01E5">
            <w:pPr>
              <w:pStyle w:val="ListBullet"/>
            </w:pPr>
            <w:r w:rsidRPr="002B01E5">
              <w:t>preparing distribution lists</w:t>
            </w:r>
          </w:p>
          <w:p w:rsidR="00000000" w:rsidP="002B01E5">
            <w:pPr>
              <w:pStyle w:val="BodyText"/>
              <w:rPr>
                <w:lang w:val="en-NZ"/>
              </w:rPr>
            </w:pPr>
          </w:p>
        </w:tc>
      </w:tr>
      <w:tr w:rsidTr="002B01E5">
        <w:tblPrEx>
          <w:tblW w:w="0" w:type="auto"/>
          <w:tblLayout w:type="fixed"/>
          <w:tblCellMar>
            <w:left w:w="62" w:type="dxa"/>
            <w:right w:w="62" w:type="dxa"/>
          </w:tblCellMar>
          <w:tblLook w:val="0000"/>
        </w:tblPrEx>
        <w:tc>
          <w:tcPr>
            <w:tcW w:w="2851" w:type="dxa"/>
            <w:tcBorders>
              <w:top w:val="nil"/>
              <w:left w:val="nil"/>
              <w:bottom w:val="nil"/>
              <w:right w:val="nil"/>
            </w:tcBorders>
            <w:tcMar>
              <w:top w:w="0" w:type="dxa"/>
              <w:left w:w="62" w:type="dxa"/>
              <w:bottom w:w="0" w:type="dxa"/>
              <w:right w:w="62" w:type="dxa"/>
            </w:tcMar>
          </w:tcPr>
          <w:p w:rsidR="00000000" w:rsidP="002B01E5">
            <w:pPr>
              <w:pStyle w:val="BodyText"/>
              <w:rPr>
                <w:lang w:val="en-NZ"/>
              </w:rPr>
            </w:pPr>
            <w:r w:rsidRPr="002B01E5">
              <w:rPr>
                <w:rStyle w:val="SpecialBold"/>
              </w:rPr>
              <w:t>Issued includes one (1) or more of the following:</w:t>
            </w:r>
          </w:p>
        </w:tc>
        <w:tc>
          <w:tcPr>
            <w:tcW w:w="6311" w:type="dxa"/>
            <w:tcBorders>
              <w:top w:val="nil"/>
              <w:left w:val="nil"/>
              <w:bottom w:val="nil"/>
              <w:right w:val="nil"/>
            </w:tcBorders>
            <w:tcMar>
              <w:top w:w="0" w:type="dxa"/>
              <w:left w:w="62" w:type="dxa"/>
              <w:bottom w:w="0" w:type="dxa"/>
              <w:right w:w="62" w:type="dxa"/>
            </w:tcMar>
          </w:tcPr>
          <w:p w:rsidR="00000000" w:rsidRPr="002B01E5" w:rsidP="002B01E5">
            <w:pPr>
              <w:pStyle w:val="ListBullet"/>
            </w:pPr>
            <w:r w:rsidRPr="002B01E5">
              <w:t>hard copy</w:t>
            </w:r>
          </w:p>
          <w:p w:rsidR="00000000" w:rsidRPr="002B01E5" w:rsidP="002B01E5">
            <w:pPr>
              <w:pStyle w:val="ListBullet"/>
            </w:pPr>
            <w:r w:rsidRPr="002B01E5">
              <w:t>photographic</w:t>
            </w:r>
          </w:p>
          <w:p w:rsidR="00000000" w:rsidRPr="002B01E5" w:rsidP="002B01E5">
            <w:pPr>
              <w:pStyle w:val="ListBullet"/>
            </w:pPr>
            <w:r w:rsidRPr="002B01E5">
              <w:t xml:space="preserve">slide or transparency form </w:t>
            </w:r>
          </w:p>
          <w:p w:rsidR="00000000" w:rsidRPr="002B01E5" w:rsidP="002B01E5">
            <w:pPr>
              <w:pStyle w:val="ListBullet"/>
            </w:pPr>
            <w:r w:rsidRPr="002B01E5">
              <w:t xml:space="preserve">presentation as a single drawing or with other drawings </w:t>
            </w:r>
          </w:p>
          <w:p w:rsidR="00000000" w:rsidRPr="002B01E5" w:rsidP="002B01E5">
            <w:pPr>
              <w:pStyle w:val="ListBullet"/>
            </w:pPr>
            <w:r w:rsidRPr="002B01E5">
              <w:t>presentation as a package</w:t>
            </w:r>
          </w:p>
          <w:p w:rsidR="00000000" w:rsidRPr="002B01E5" w:rsidP="002B01E5">
            <w:pPr>
              <w:pStyle w:val="BodyText"/>
            </w:pPr>
          </w:p>
        </w:tc>
      </w:tr>
    </w:tbl>
    <w:p w:rsidR="00000000" w:rsidRPr="002B01E5" w:rsidP="002B01E5">
      <w:pPr>
        <w:pStyle w:val="BodyText"/>
      </w:pPr>
    </w:p>
    <w:p w:rsidR="00000000" w:rsidRPr="002B01E5" w:rsidP="002B01E5">
      <w:pPr>
        <w:pStyle w:val="AllowPageBreak"/>
      </w:pPr>
    </w:p>
    <w:p w:rsidR="00000000" w:rsidRPr="002B01E5" w:rsidP="002B01E5">
      <w:pPr>
        <w:pStyle w:val="Heading1"/>
      </w:pPr>
      <w:bookmarkStart w:id="8" w:name="O_959824"/>
      <w:bookmarkEnd w:id="8"/>
      <w:r w:rsidRPr="002B01E5">
        <w:t>Unit Mapping Information</w:t>
      </w:r>
    </w:p>
    <w:p w:rsidR="00000000" w:rsidRPr="002B01E5" w:rsidP="00BD55B4">
      <w:pPr>
        <w:pStyle w:val="BodyText"/>
      </w:pPr>
      <w:r w:rsidRPr="002B01E5">
        <w:t xml:space="preserve">Release 1. Supersedes and is equivalent to MEM09003B Prepare basic engineering drawing </w:t>
      </w:r>
    </w:p>
    <w:p w:rsidR="00000000" w:rsidRPr="002B01E5" w:rsidP="002B01E5">
      <w:pPr>
        <w:pStyle w:val="Heading1"/>
      </w:pPr>
      <w:bookmarkStart w:id="9" w:name="O_959817"/>
      <w:bookmarkEnd w:id="9"/>
      <w:r w:rsidRPr="002B01E5">
        <w:t>Links</w:t>
      </w:r>
    </w:p>
    <w:p w:rsidR="00000000" w:rsidRPr="002B01E5" w:rsidP="00BD55B4">
      <w:pPr>
        <w:pStyle w:val="BodyText"/>
      </w:pPr>
      <w:r w:rsidRPr="002B01E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6763A">
        <w:rPr>
          <w:rStyle w:val="Hyperlink"/>
        </w:rPr>
        <w:t>https://vetnet.gov.au/Pages/TrainingDocs.aspx?q=b7050d37-5fd0-4740-8f7d-3b7a49c10bb2</w:t>
      </w:r>
      <w:r>
        <w:fldChar w:fldCharType="end"/>
      </w:r>
    </w:p>
    <w:p w:rsidR="00000000" w:rsidRPr="002B01E5" w:rsidP="002B01E5"/>
    <w:sectPr w:rsidSect="002B0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5" w:rsidRPr="00BD55B4" w:rsidP="00BD5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4" w:rsidP="002B0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5B4" w:rsidP="002B01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55B4" w:rsidP="002B0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1E5" w:rsidRPr="00BD55B4" w:rsidP="00BD5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4" w:rsidRPr="002D2AF8" w:rsidP="002B01E5">
    <w:pPr>
      <w:pStyle w:val="Header"/>
      <w:framePr w:wrap="around"/>
    </w:pPr>
    <w:r>
      <w:fldChar w:fldCharType="begin"/>
    </w:r>
    <w:r>
      <w:instrText xml:space="preserve"> TITLE   \* MERGEFORMAT </w:instrText>
    </w:r>
    <w:r>
      <w:fldChar w:fldCharType="separate"/>
    </w:r>
    <w:r>
      <w:t>MEM09003 Prepare basic engineering drawing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D55B4" w:rsidP="002B0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7231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92F8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1E5"/>
    <w:pPr>
      <w:spacing w:before="360" w:after="60"/>
      <w:outlineLvl w:val="0"/>
    </w:pPr>
    <w:rPr>
      <w:sz w:val="32"/>
    </w:rPr>
  </w:style>
  <w:style w:type="paragraph" w:styleId="Heading2">
    <w:name w:val="heading 2"/>
    <w:basedOn w:val="HeadingBase"/>
    <w:next w:val="BodyText"/>
    <w:link w:val="Heading2Char"/>
    <w:qFormat/>
    <w:rsid w:val="002B01E5"/>
    <w:pPr>
      <w:keepLines/>
      <w:spacing w:before="240" w:after="120"/>
      <w:outlineLvl w:val="1"/>
    </w:pPr>
    <w:rPr>
      <w:sz w:val="28"/>
      <w:szCs w:val="40"/>
    </w:rPr>
  </w:style>
  <w:style w:type="paragraph" w:styleId="Heading3">
    <w:name w:val="heading 3"/>
    <w:basedOn w:val="HeadingBase"/>
    <w:next w:val="BodyText"/>
    <w:link w:val="Heading3Char"/>
    <w:qFormat/>
    <w:rsid w:val="002B01E5"/>
    <w:pPr>
      <w:spacing w:before="180" w:after="120"/>
      <w:outlineLvl w:val="2"/>
    </w:pPr>
    <w:rPr>
      <w:spacing w:val="-10"/>
      <w:kern w:val="32"/>
    </w:rPr>
  </w:style>
  <w:style w:type="paragraph" w:styleId="Heading4">
    <w:name w:val="heading 4"/>
    <w:basedOn w:val="HeadingBase"/>
    <w:next w:val="BodyText"/>
    <w:link w:val="Heading4Char"/>
    <w:qFormat/>
    <w:rsid w:val="002B01E5"/>
    <w:pPr>
      <w:spacing w:before="160" w:after="120"/>
      <w:outlineLvl w:val="3"/>
    </w:pPr>
    <w:rPr>
      <w:sz w:val="22"/>
    </w:rPr>
  </w:style>
  <w:style w:type="paragraph" w:styleId="Heading5">
    <w:name w:val="heading 5"/>
    <w:basedOn w:val="HeadingBase"/>
    <w:next w:val="Normal"/>
    <w:link w:val="Heading5Char"/>
    <w:qFormat/>
    <w:rsid w:val="002B01E5"/>
    <w:pPr>
      <w:spacing w:before="80"/>
      <w:outlineLvl w:val="4"/>
    </w:pPr>
    <w:rPr>
      <w:color w:val="918585"/>
      <w:sz w:val="20"/>
    </w:rPr>
  </w:style>
  <w:style w:type="paragraph" w:styleId="Heading6">
    <w:name w:val="heading 6"/>
    <w:basedOn w:val="HeadingBase"/>
    <w:next w:val="Normal"/>
    <w:link w:val="Heading6Char"/>
    <w:qFormat/>
    <w:rsid w:val="002B01E5"/>
    <w:pPr>
      <w:spacing w:before="60"/>
      <w:outlineLvl w:val="5"/>
    </w:pPr>
    <w:rPr>
      <w:color w:val="918585"/>
      <w:sz w:val="20"/>
    </w:rPr>
  </w:style>
  <w:style w:type="paragraph" w:styleId="Heading7">
    <w:name w:val="heading 7"/>
    <w:basedOn w:val="Normal"/>
    <w:next w:val="Normal"/>
    <w:link w:val="Heading7Char"/>
    <w:qFormat/>
    <w:rsid w:val="002B01E5"/>
    <w:pPr>
      <w:ind w:left="720"/>
      <w:outlineLvl w:val="6"/>
    </w:pPr>
    <w:rPr>
      <w:i/>
    </w:rPr>
  </w:style>
  <w:style w:type="paragraph" w:styleId="Heading8">
    <w:name w:val="heading 8"/>
    <w:basedOn w:val="Normal"/>
    <w:next w:val="Normal"/>
    <w:link w:val="Heading8Char"/>
    <w:qFormat/>
    <w:rsid w:val="002B01E5"/>
    <w:pPr>
      <w:ind w:left="720"/>
      <w:outlineLvl w:val="7"/>
    </w:pPr>
    <w:rPr>
      <w:i/>
    </w:rPr>
  </w:style>
  <w:style w:type="paragraph" w:styleId="Heading9">
    <w:name w:val="heading 9"/>
    <w:basedOn w:val="Normal"/>
    <w:next w:val="Normal"/>
    <w:link w:val="Heading9Char"/>
    <w:qFormat/>
    <w:rsid w:val="002B01E5"/>
    <w:pPr>
      <w:ind w:left="720"/>
      <w:outlineLvl w:val="8"/>
    </w:pPr>
    <w:rPr>
      <w:i/>
    </w:rPr>
  </w:style>
  <w:style w:type="character" w:default="1" w:styleId="DefaultParagraphFont">
    <w:name w:val="Default Paragraph Font"/>
    <w:uiPriority w:val="1"/>
    <w:unhideWhenUsed/>
    <w:rsid w:val="002B0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1E5"/>
  </w:style>
  <w:style w:type="character" w:customStyle="1" w:styleId="Heading1Char">
    <w:name w:val="Heading 1 Char"/>
    <w:basedOn w:val="DefaultParagraphFont"/>
    <w:link w:val="Heading1"/>
    <w:rsid w:val="002B01E5"/>
    <w:rPr>
      <w:rFonts w:ascii="Times New Roman" w:eastAsia="Times New Roman" w:hAnsi="Times New Roman" w:cs="Times New Roman"/>
      <w:b/>
      <w:sz w:val="32"/>
      <w:szCs w:val="20"/>
      <w:lang w:eastAsia="en-US"/>
    </w:rPr>
  </w:style>
  <w:style w:type="paragraph" w:styleId="BodyText">
    <w:name w:val="Body Text"/>
    <w:basedOn w:val="Normal"/>
    <w:link w:val="BodyTextChar"/>
    <w:rsid w:val="002B0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1E5"/>
    <w:rPr>
      <w:rFonts w:ascii="Times New Roman" w:eastAsia="Times New Roman" w:hAnsi="Times New Roman" w:cs="Times New Roman"/>
      <w:sz w:val="24"/>
      <w:lang w:eastAsia="en-US"/>
    </w:rPr>
  </w:style>
  <w:style w:type="paragraph" w:styleId="ListBullet">
    <w:name w:val="List Bullet"/>
    <w:basedOn w:val="List"/>
    <w:rsid w:val="002B01E5"/>
    <w:pPr>
      <w:numPr>
        <w:numId w:val="11"/>
      </w:numPr>
      <w:tabs>
        <w:tab w:val="clear" w:pos="340"/>
      </w:tabs>
      <w:spacing w:before="40" w:after="40"/>
    </w:pPr>
  </w:style>
  <w:style w:type="character" w:customStyle="1" w:styleId="SpecialBold">
    <w:name w:val="Special Bold"/>
    <w:basedOn w:val="DefaultParagraphFont"/>
    <w:rsid w:val="002B01E5"/>
    <w:rPr>
      <w:b/>
      <w:spacing w:val="0"/>
    </w:rPr>
  </w:style>
  <w:style w:type="paragraph" w:customStyle="1" w:styleId="SuperHeading">
    <w:name w:val="SuperHeading"/>
    <w:basedOn w:val="Normal"/>
    <w:rsid w:val="002B01E5"/>
    <w:pPr>
      <w:spacing w:before="240" w:after="120"/>
      <w:outlineLvl w:val="0"/>
    </w:pPr>
    <w:rPr>
      <w:rFonts w:ascii="Times New Roman" w:hAnsi="Times New Roman"/>
      <w:b/>
      <w:sz w:val="32"/>
    </w:rPr>
  </w:style>
  <w:style w:type="paragraph" w:customStyle="1" w:styleId="AllowPageBreak">
    <w:name w:val="AllowPageBreak"/>
    <w:rsid w:val="002B0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1E5"/>
    <w:rPr>
      <w:rFonts w:ascii="Courier New" w:eastAsia="Times New Roman" w:hAnsi="Courier New" w:cs="Times New Roman"/>
      <w:i/>
      <w:szCs w:val="20"/>
      <w:lang w:eastAsia="en-US"/>
    </w:rPr>
  </w:style>
  <w:style w:type="paragraph" w:customStyle="1" w:styleId="HeadingBase">
    <w:name w:val="Heading Base"/>
    <w:rsid w:val="002B0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1E5"/>
    <w:pPr>
      <w:tabs>
        <w:tab w:val="right" w:leader="dot" w:pos="9072"/>
      </w:tabs>
      <w:ind w:left="567"/>
    </w:pPr>
    <w:rPr>
      <w:szCs w:val="22"/>
    </w:rPr>
  </w:style>
  <w:style w:type="paragraph" w:customStyle="1" w:styleId="TOCBase">
    <w:name w:val="TOC Base"/>
    <w:rsid w:val="002B0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1E5"/>
    <w:pPr>
      <w:tabs>
        <w:tab w:val="right" w:leader="dot" w:pos="9072"/>
      </w:tabs>
      <w:spacing w:before="40" w:after="40"/>
      <w:ind w:left="284"/>
    </w:pPr>
    <w:rPr>
      <w:rFonts w:ascii="Times New Roman" w:hAnsi="Times New Roman"/>
    </w:rPr>
  </w:style>
  <w:style w:type="paragraph" w:styleId="TOC1">
    <w:name w:val="toc 1"/>
    <w:basedOn w:val="TOCBase"/>
    <w:next w:val="Normal"/>
    <w:rsid w:val="002B0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1E5"/>
    <w:rPr>
      <w:rFonts w:ascii="Times New Roman" w:eastAsia="Times New Roman" w:hAnsi="Times New Roman" w:cs="Times New Roman"/>
      <w:sz w:val="16"/>
      <w:lang w:eastAsia="en-US"/>
    </w:rPr>
  </w:style>
  <w:style w:type="paragraph" w:styleId="Title">
    <w:name w:val="Title"/>
    <w:basedOn w:val="HeadingBase"/>
    <w:link w:val="TitleChar"/>
    <w:qFormat/>
    <w:rsid w:val="002B01E5"/>
    <w:pPr>
      <w:spacing w:before="5040"/>
      <w:jc w:val="center"/>
    </w:pPr>
    <w:rPr>
      <w:sz w:val="48"/>
      <w:szCs w:val="72"/>
      <w:lang w:val="en-US"/>
    </w:rPr>
  </w:style>
  <w:style w:type="character" w:customStyle="1" w:styleId="TitleChar">
    <w:name w:val="Title Char"/>
    <w:basedOn w:val="DefaultParagraphFont"/>
    <w:link w:val="Title"/>
    <w:rsid w:val="002B0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1E5"/>
    <w:pPr>
      <w:tabs>
        <w:tab w:val="left" w:pos="3600"/>
        <w:tab w:val="left" w:pos="3958"/>
      </w:tabs>
    </w:pPr>
  </w:style>
  <w:style w:type="paragraph" w:styleId="List">
    <w:name w:val="List"/>
    <w:basedOn w:val="BodyText"/>
    <w:next w:val="BodyText"/>
    <w:rsid w:val="002B01E5"/>
    <w:pPr>
      <w:tabs>
        <w:tab w:val="left" w:pos="340"/>
      </w:tabs>
      <w:spacing w:before="60" w:after="60"/>
      <w:ind w:left="340" w:hanging="340"/>
    </w:pPr>
  </w:style>
  <w:style w:type="paragraph" w:customStyle="1" w:styleId="Note">
    <w:name w:val="Note"/>
    <w:basedOn w:val="BodyText"/>
    <w:rsid w:val="002B0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1E5"/>
    <w:pPr>
      <w:framePr w:wrap="auto" w:hAnchor="text" w:y="6049"/>
    </w:pPr>
    <w:rPr>
      <w:color w:val="000000"/>
      <w:sz w:val="40"/>
    </w:rPr>
  </w:style>
  <w:style w:type="paragraph" w:customStyle="1" w:styleId="TOCTitle">
    <w:name w:val="TOCTitle"/>
    <w:basedOn w:val="Heading1"/>
    <w:rsid w:val="002B01E5"/>
    <w:pPr>
      <w:spacing w:after="240"/>
      <w:jc w:val="center"/>
      <w:outlineLvl w:val="9"/>
    </w:pPr>
    <w:rPr>
      <w:caps/>
    </w:rPr>
  </w:style>
  <w:style w:type="paragraph" w:customStyle="1" w:styleId="Version">
    <w:name w:val="Version"/>
    <w:rsid w:val="002B0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1E5"/>
    <w:pPr>
      <w:numPr>
        <w:numId w:val="12"/>
      </w:numPr>
      <w:tabs>
        <w:tab w:val="clear" w:pos="680"/>
      </w:tabs>
    </w:pPr>
  </w:style>
  <w:style w:type="paragraph" w:styleId="Index1">
    <w:name w:val="index 1"/>
    <w:basedOn w:val="Normal"/>
    <w:next w:val="Normal"/>
    <w:semiHidden/>
    <w:rsid w:val="002B01E5"/>
    <w:pPr>
      <w:keepNext w:val="0"/>
      <w:tabs>
        <w:tab w:val="right" w:pos="4176"/>
      </w:tabs>
      <w:ind w:left="198" w:hanging="198"/>
    </w:pPr>
    <w:rPr>
      <w:rFonts w:ascii="Garamond" w:hAnsi="Garamond"/>
    </w:rPr>
  </w:style>
  <w:style w:type="paragraph" w:styleId="IndexHeading">
    <w:name w:val="index heading"/>
    <w:basedOn w:val="Normal"/>
    <w:next w:val="Index1"/>
    <w:semiHidden/>
    <w:rsid w:val="002B01E5"/>
    <w:pPr>
      <w:spacing w:before="120" w:after="120"/>
    </w:pPr>
    <w:rPr>
      <w:rFonts w:ascii="Arial" w:hAnsi="Arial"/>
      <w:b/>
      <w:color w:val="918585"/>
      <w:sz w:val="24"/>
    </w:rPr>
  </w:style>
  <w:style w:type="paragraph" w:styleId="Header">
    <w:name w:val="header"/>
    <w:basedOn w:val="Normal"/>
    <w:link w:val="HeaderChar"/>
    <w:rsid w:val="002B0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1E5"/>
    <w:rPr>
      <w:rFonts w:ascii="Times New Roman" w:eastAsia="Times New Roman" w:hAnsi="Times New Roman" w:cs="Times New Roman"/>
      <w:sz w:val="16"/>
      <w:szCs w:val="20"/>
      <w:lang w:val="en-GB" w:eastAsia="en-US"/>
    </w:rPr>
  </w:style>
  <w:style w:type="paragraph" w:customStyle="1" w:styleId="Chapter">
    <w:name w:val="Chapter"/>
    <w:basedOn w:val="Normal"/>
    <w:rsid w:val="002B01E5"/>
    <w:pPr>
      <w:spacing w:before="240"/>
    </w:pPr>
    <w:rPr>
      <w:rFonts w:ascii="Times New Roman" w:hAnsi="Times New Roman"/>
      <w:smallCaps/>
      <w:spacing w:val="80"/>
      <w:sz w:val="28"/>
    </w:rPr>
  </w:style>
  <w:style w:type="paragraph" w:customStyle="1" w:styleId="InChapter">
    <w:name w:val="InChapter"/>
    <w:basedOn w:val="Heading3"/>
    <w:rsid w:val="002B01E5"/>
    <w:pPr>
      <w:spacing w:after="240"/>
      <w:outlineLvl w:val="9"/>
    </w:pPr>
    <w:rPr>
      <w:noProof/>
    </w:rPr>
  </w:style>
  <w:style w:type="paragraph" w:styleId="Index2">
    <w:name w:val="index 2"/>
    <w:basedOn w:val="Normal"/>
    <w:next w:val="Normal"/>
    <w:semiHidden/>
    <w:rsid w:val="002B01E5"/>
    <w:pPr>
      <w:tabs>
        <w:tab w:val="right" w:pos="4176"/>
      </w:tabs>
      <w:ind w:left="568" w:hanging="284"/>
    </w:pPr>
    <w:rPr>
      <w:rFonts w:ascii="Garamond" w:hAnsi="Garamond"/>
    </w:rPr>
  </w:style>
  <w:style w:type="paragraph" w:customStyle="1" w:styleId="Byline">
    <w:name w:val="Byline"/>
    <w:rsid w:val="002B0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1E5"/>
    <w:pPr>
      <w:tabs>
        <w:tab w:val="clear" w:pos="3600"/>
        <w:tab w:val="clear" w:pos="3958"/>
      </w:tabs>
      <w:jc w:val="right"/>
    </w:pPr>
  </w:style>
  <w:style w:type="character" w:styleId="Emphasis">
    <w:name w:val="Emphasis"/>
    <w:basedOn w:val="DefaultParagraphFont"/>
    <w:qFormat/>
    <w:rsid w:val="002B01E5"/>
    <w:rPr>
      <w:i/>
    </w:rPr>
  </w:style>
  <w:style w:type="paragraph" w:styleId="Caption">
    <w:name w:val="caption"/>
    <w:basedOn w:val="BodyText"/>
    <w:next w:val="Normal"/>
    <w:qFormat/>
    <w:rsid w:val="002B01E5"/>
    <w:pPr>
      <w:framePr w:w="2268" w:hSpace="181" w:vSpace="181" w:wrap="around" w:vAnchor="text" w:hAnchor="page" w:x="1135" w:y="285" w:anchorLock="1"/>
    </w:pPr>
    <w:rPr>
      <w:i/>
    </w:rPr>
  </w:style>
  <w:style w:type="paragraph" w:customStyle="1" w:styleId="MiniTOCTitle">
    <w:name w:val="MiniTOCTitle"/>
    <w:basedOn w:val="Heading4"/>
    <w:rsid w:val="002B01E5"/>
    <w:pPr>
      <w:spacing w:before="240"/>
      <w:outlineLvl w:val="9"/>
    </w:pPr>
    <w:rPr>
      <w:noProof/>
      <w:sz w:val="24"/>
    </w:rPr>
  </w:style>
  <w:style w:type="paragraph" w:customStyle="1" w:styleId="MiniTOCItem">
    <w:name w:val="MiniTOCItem"/>
    <w:basedOn w:val="ListBullet"/>
    <w:rsid w:val="002B01E5"/>
    <w:pPr>
      <w:numPr>
        <w:numId w:val="0"/>
      </w:numPr>
      <w:tabs>
        <w:tab w:val="right" w:leader="dot" w:pos="6521"/>
      </w:tabs>
      <w:spacing w:before="0" w:after="0"/>
    </w:pPr>
  </w:style>
  <w:style w:type="paragraph" w:customStyle="1" w:styleId="TOFTitle">
    <w:name w:val="TOFTitle"/>
    <w:basedOn w:val="TOCTitle"/>
    <w:rsid w:val="002B01E5"/>
  </w:style>
  <w:style w:type="paragraph" w:styleId="TableofFigures">
    <w:name w:val="table of figures"/>
    <w:basedOn w:val="Normal"/>
    <w:next w:val="Normal"/>
    <w:semiHidden/>
    <w:rsid w:val="002B01E5"/>
    <w:pPr>
      <w:tabs>
        <w:tab w:val="right" w:leader="dot" w:pos="9072"/>
      </w:tabs>
      <w:ind w:left="970" w:hanging="403"/>
    </w:pPr>
    <w:rPr>
      <w:rFonts w:ascii="Times New Roman" w:hAnsi="Times New Roman"/>
      <w:b/>
    </w:rPr>
  </w:style>
  <w:style w:type="paragraph" w:styleId="ListNumber">
    <w:name w:val="List Number"/>
    <w:basedOn w:val="List"/>
    <w:rsid w:val="002B01E5"/>
    <w:pPr>
      <w:numPr>
        <w:numId w:val="14"/>
      </w:numPr>
      <w:tabs>
        <w:tab w:val="clear" w:pos="340"/>
      </w:tabs>
    </w:pPr>
  </w:style>
  <w:style w:type="character" w:customStyle="1" w:styleId="WingdingSymbols">
    <w:name w:val="Wingding Symbols"/>
    <w:rsid w:val="002B01E5"/>
    <w:rPr>
      <w:rFonts w:ascii="Wingdings" w:hAnsi="Wingdings"/>
    </w:rPr>
  </w:style>
  <w:style w:type="paragraph" w:customStyle="1" w:styleId="TableHeading">
    <w:name w:val="Table Heading"/>
    <w:basedOn w:val="HeadingBase"/>
    <w:rsid w:val="002B01E5"/>
    <w:pPr>
      <w:keepLines/>
      <w:pBdr>
        <w:bottom w:val="single" w:sz="6" w:space="1" w:color="918585"/>
      </w:pBdr>
      <w:spacing w:before="240"/>
    </w:pPr>
  </w:style>
  <w:style w:type="character" w:customStyle="1" w:styleId="HotSpot">
    <w:name w:val="HotSpot"/>
    <w:rsid w:val="002B01E5"/>
    <w:rPr>
      <w:color w:val="0033CC"/>
      <w:u w:val="none"/>
    </w:rPr>
  </w:style>
  <w:style w:type="paragraph" w:customStyle="1" w:styleId="BodyTextRight">
    <w:name w:val="Body Text Right"/>
    <w:basedOn w:val="BodyText"/>
    <w:rsid w:val="002B01E5"/>
    <w:pPr>
      <w:spacing w:before="0" w:after="0"/>
      <w:jc w:val="right"/>
    </w:pPr>
  </w:style>
  <w:style w:type="paragraph" w:styleId="Index3">
    <w:name w:val="index 3"/>
    <w:basedOn w:val="ListNumber2"/>
    <w:next w:val="Normal"/>
    <w:semiHidden/>
    <w:rsid w:val="002B01E5"/>
    <w:pPr>
      <w:numPr>
        <w:numId w:val="0"/>
      </w:numPr>
      <w:tabs>
        <w:tab w:val="right" w:leader="dot" w:pos="4176"/>
      </w:tabs>
    </w:pPr>
  </w:style>
  <w:style w:type="paragraph" w:styleId="ListNumber2">
    <w:name w:val="List Number 2"/>
    <w:basedOn w:val="List2"/>
    <w:rsid w:val="002B01E5"/>
    <w:pPr>
      <w:numPr>
        <w:numId w:val="9"/>
      </w:numPr>
      <w:tabs>
        <w:tab w:val="clear" w:pos="1060"/>
      </w:tabs>
    </w:pPr>
  </w:style>
  <w:style w:type="paragraph" w:customStyle="1" w:styleId="MarginNote">
    <w:name w:val="Margin Note"/>
    <w:basedOn w:val="BodyText"/>
    <w:rsid w:val="002B0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1E5"/>
    <w:rPr>
      <w:sz w:val="32"/>
    </w:rPr>
  </w:style>
  <w:style w:type="paragraph" w:customStyle="1" w:styleId="HeadingProcedure">
    <w:name w:val="Heading Procedure"/>
    <w:basedOn w:val="HeadingBase"/>
    <w:next w:val="Normal"/>
    <w:rsid w:val="002B01E5"/>
    <w:pPr>
      <w:tabs>
        <w:tab w:val="left" w:pos="0"/>
      </w:tabs>
      <w:spacing w:before="120" w:after="60"/>
    </w:pPr>
    <w:rPr>
      <w:i/>
      <w:color w:val="918585"/>
      <w:sz w:val="22"/>
    </w:rPr>
  </w:style>
  <w:style w:type="paragraph" w:customStyle="1" w:styleId="TableBodyText">
    <w:name w:val="Table Body Text"/>
    <w:basedOn w:val="BodyText"/>
    <w:rsid w:val="002B01E5"/>
    <w:pPr>
      <w:spacing w:before="60" w:after="60"/>
    </w:pPr>
  </w:style>
  <w:style w:type="paragraph" w:styleId="ListContinue">
    <w:name w:val="List Continue"/>
    <w:basedOn w:val="List"/>
    <w:rsid w:val="002B01E5"/>
    <w:pPr>
      <w:ind w:firstLine="0"/>
    </w:pPr>
  </w:style>
  <w:style w:type="paragraph" w:customStyle="1" w:styleId="ListNote">
    <w:name w:val="List Note"/>
    <w:basedOn w:val="List"/>
    <w:rsid w:val="002B01E5"/>
    <w:pPr>
      <w:pBdr>
        <w:top w:val="single" w:sz="6" w:space="2" w:color="918585"/>
        <w:bottom w:val="single" w:sz="6" w:space="2" w:color="918585"/>
      </w:pBdr>
      <w:tabs>
        <w:tab w:val="left" w:pos="1021"/>
      </w:tabs>
      <w:ind w:firstLine="0"/>
    </w:pPr>
  </w:style>
  <w:style w:type="paragraph" w:customStyle="1" w:styleId="Warning">
    <w:name w:val="Warning"/>
    <w:basedOn w:val="BodyText"/>
    <w:rsid w:val="002B01E5"/>
    <w:pPr>
      <w:shd w:val="clear" w:color="auto" w:fill="D9D9D9"/>
      <w:tabs>
        <w:tab w:val="left" w:pos="992"/>
      </w:tabs>
      <w:ind w:left="119" w:right="119"/>
    </w:pPr>
    <w:rPr>
      <w:sz w:val="20"/>
    </w:rPr>
  </w:style>
  <w:style w:type="paragraph" w:customStyle="1" w:styleId="MarginIcons">
    <w:name w:val="Margin Icons"/>
    <w:basedOn w:val="BodyText"/>
    <w:rsid w:val="002B0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1E5"/>
    <w:rPr>
      <w:rFonts w:ascii="Courier New" w:hAnsi="Courier New"/>
    </w:rPr>
  </w:style>
  <w:style w:type="paragraph" w:customStyle="1" w:styleId="NoteBullet">
    <w:name w:val="Note Bullet"/>
    <w:basedOn w:val="Note"/>
    <w:rsid w:val="002B01E5"/>
    <w:pPr>
      <w:tabs>
        <w:tab w:val="clear" w:pos="680"/>
      </w:tabs>
      <w:spacing w:before="60" w:after="60"/>
    </w:pPr>
  </w:style>
  <w:style w:type="paragraph" w:customStyle="1" w:styleId="SubHeading2">
    <w:name w:val="SubHeading2"/>
    <w:basedOn w:val="HeadingBase"/>
    <w:rsid w:val="002B01E5"/>
    <w:pPr>
      <w:spacing w:before="240" w:after="60"/>
    </w:pPr>
    <w:rPr>
      <w:sz w:val="20"/>
    </w:rPr>
  </w:style>
  <w:style w:type="paragraph" w:customStyle="1" w:styleId="SubHeading1">
    <w:name w:val="SubHeading1"/>
    <w:basedOn w:val="HeadingBase"/>
    <w:rsid w:val="002B01E5"/>
    <w:pPr>
      <w:spacing w:before="240" w:after="60"/>
    </w:pPr>
    <w:rPr>
      <w:color w:val="918585"/>
      <w:sz w:val="22"/>
    </w:rPr>
  </w:style>
  <w:style w:type="paragraph" w:customStyle="1" w:styleId="SideHeading">
    <w:name w:val="Side Heading"/>
    <w:basedOn w:val="HeadingBase"/>
    <w:rsid w:val="002B0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1E5"/>
    <w:pPr>
      <w:numPr>
        <w:numId w:val="10"/>
      </w:numPr>
    </w:pPr>
  </w:style>
  <w:style w:type="paragraph" w:styleId="PlainText">
    <w:name w:val="Plain Text"/>
    <w:basedOn w:val="Normal"/>
    <w:link w:val="PlainTextChar"/>
    <w:rsid w:val="002B01E5"/>
    <w:rPr>
      <w:sz w:val="20"/>
    </w:rPr>
  </w:style>
  <w:style w:type="character" w:customStyle="1" w:styleId="PlainTextChar">
    <w:name w:val="Plain Text Char"/>
    <w:basedOn w:val="DefaultParagraphFont"/>
    <w:link w:val="PlainText"/>
    <w:rsid w:val="002B01E5"/>
    <w:rPr>
      <w:rFonts w:ascii="Courier New" w:eastAsia="Times New Roman" w:hAnsi="Courier New" w:cs="Times New Roman"/>
      <w:sz w:val="20"/>
      <w:szCs w:val="20"/>
      <w:lang w:eastAsia="en-US"/>
    </w:rPr>
  </w:style>
  <w:style w:type="character" w:customStyle="1" w:styleId="MenuOption">
    <w:name w:val="Menu Option"/>
    <w:basedOn w:val="DefaultParagraphFont"/>
    <w:rsid w:val="002B01E5"/>
    <w:rPr>
      <w:b/>
      <w:smallCaps/>
    </w:rPr>
  </w:style>
  <w:style w:type="paragraph" w:customStyle="1" w:styleId="TableListNumber">
    <w:name w:val="Table List Number"/>
    <w:basedOn w:val="ListNumber"/>
    <w:rsid w:val="002B01E5"/>
    <w:pPr>
      <w:numPr>
        <w:numId w:val="0"/>
      </w:numPr>
    </w:pPr>
  </w:style>
  <w:style w:type="paragraph" w:styleId="TOC4">
    <w:name w:val="toc 4"/>
    <w:basedOn w:val="TOCBase"/>
    <w:next w:val="Normal"/>
    <w:semiHidden/>
    <w:rsid w:val="002B01E5"/>
    <w:pPr>
      <w:tabs>
        <w:tab w:val="right" w:leader="dot" w:pos="9071"/>
      </w:tabs>
      <w:ind w:left="1701"/>
    </w:pPr>
  </w:style>
  <w:style w:type="paragraph" w:customStyle="1" w:styleId="ListAlpha">
    <w:name w:val="List Alpha"/>
    <w:basedOn w:val="List"/>
    <w:rsid w:val="002B01E5"/>
    <w:pPr>
      <w:numPr>
        <w:numId w:val="8"/>
      </w:numPr>
    </w:pPr>
  </w:style>
  <w:style w:type="paragraph" w:customStyle="1" w:styleId="ListAlpha2">
    <w:name w:val="List Alpha 2"/>
    <w:basedOn w:val="List2"/>
    <w:rsid w:val="002B01E5"/>
    <w:pPr>
      <w:numPr>
        <w:numId w:val="7"/>
      </w:numPr>
    </w:pPr>
  </w:style>
  <w:style w:type="paragraph" w:styleId="List2">
    <w:name w:val="List 2"/>
    <w:basedOn w:val="BodyText"/>
    <w:rsid w:val="002B01E5"/>
    <w:pPr>
      <w:tabs>
        <w:tab w:val="left" w:pos="680"/>
      </w:tabs>
      <w:spacing w:before="60" w:after="60"/>
      <w:ind w:left="680" w:hanging="340"/>
    </w:pPr>
  </w:style>
  <w:style w:type="paragraph" w:styleId="List3">
    <w:name w:val="List 3"/>
    <w:basedOn w:val="BodyText"/>
    <w:rsid w:val="002B01E5"/>
    <w:pPr>
      <w:tabs>
        <w:tab w:val="left" w:pos="1021"/>
      </w:tabs>
      <w:spacing w:before="60" w:after="60"/>
      <w:ind w:left="1020" w:hanging="340"/>
    </w:pPr>
  </w:style>
  <w:style w:type="paragraph" w:styleId="List4">
    <w:name w:val="List 4"/>
    <w:basedOn w:val="BodyText"/>
    <w:rsid w:val="002B01E5"/>
    <w:pPr>
      <w:tabs>
        <w:tab w:val="left" w:pos="1361"/>
      </w:tabs>
      <w:spacing w:before="60" w:after="60"/>
      <w:ind w:left="1361" w:hanging="340"/>
    </w:pPr>
  </w:style>
  <w:style w:type="paragraph" w:styleId="List5">
    <w:name w:val="List 5"/>
    <w:basedOn w:val="BodyText"/>
    <w:rsid w:val="002B01E5"/>
    <w:pPr>
      <w:tabs>
        <w:tab w:val="left" w:pos="1701"/>
      </w:tabs>
      <w:spacing w:before="60" w:after="60"/>
      <w:ind w:left="1701" w:hanging="340"/>
    </w:pPr>
  </w:style>
  <w:style w:type="paragraph" w:styleId="ListBullet3">
    <w:name w:val="List Bullet 3"/>
    <w:basedOn w:val="List3"/>
    <w:rsid w:val="002B01E5"/>
    <w:pPr>
      <w:numPr>
        <w:numId w:val="13"/>
      </w:numPr>
      <w:tabs>
        <w:tab w:val="clear" w:pos="1021"/>
      </w:tabs>
      <w:ind w:left="1037" w:hanging="357"/>
    </w:pPr>
  </w:style>
  <w:style w:type="paragraph" w:styleId="ListBullet4">
    <w:name w:val="List Bullet 4"/>
    <w:basedOn w:val="List4"/>
    <w:rsid w:val="002B01E5"/>
    <w:pPr>
      <w:numPr>
        <w:numId w:val="2"/>
      </w:numPr>
      <w:tabs>
        <w:tab w:val="clear" w:pos="1361"/>
      </w:tabs>
    </w:pPr>
  </w:style>
  <w:style w:type="paragraph" w:styleId="ListBullet5">
    <w:name w:val="List Bullet 5"/>
    <w:basedOn w:val="List5"/>
    <w:rsid w:val="002B01E5"/>
    <w:pPr>
      <w:numPr>
        <w:numId w:val="3"/>
      </w:numPr>
    </w:pPr>
  </w:style>
  <w:style w:type="paragraph" w:styleId="ListContinue2">
    <w:name w:val="List Continue 2"/>
    <w:basedOn w:val="List2"/>
    <w:rsid w:val="002B01E5"/>
    <w:pPr>
      <w:ind w:firstLine="0"/>
    </w:pPr>
  </w:style>
  <w:style w:type="paragraph" w:styleId="ListContinue3">
    <w:name w:val="List Continue 3"/>
    <w:basedOn w:val="List3"/>
    <w:rsid w:val="002B01E5"/>
    <w:pPr>
      <w:ind w:left="1021" w:firstLine="0"/>
    </w:pPr>
  </w:style>
  <w:style w:type="paragraph" w:styleId="ListContinue4">
    <w:name w:val="List Continue 4"/>
    <w:basedOn w:val="List4"/>
    <w:rsid w:val="002B01E5"/>
    <w:pPr>
      <w:ind w:firstLine="0"/>
    </w:pPr>
  </w:style>
  <w:style w:type="paragraph" w:styleId="ListContinue5">
    <w:name w:val="List Continue 5"/>
    <w:basedOn w:val="List5"/>
    <w:rsid w:val="002B01E5"/>
    <w:pPr>
      <w:ind w:firstLine="0"/>
    </w:pPr>
  </w:style>
  <w:style w:type="paragraph" w:styleId="ListNumber3">
    <w:name w:val="List Number 3"/>
    <w:basedOn w:val="List3"/>
    <w:rsid w:val="002B01E5"/>
    <w:pPr>
      <w:numPr>
        <w:numId w:val="4"/>
      </w:numPr>
    </w:pPr>
  </w:style>
  <w:style w:type="paragraph" w:styleId="ListNumber4">
    <w:name w:val="List Number 4"/>
    <w:basedOn w:val="List4"/>
    <w:rsid w:val="002B01E5"/>
    <w:pPr>
      <w:numPr>
        <w:numId w:val="5"/>
      </w:numPr>
    </w:pPr>
  </w:style>
  <w:style w:type="paragraph" w:styleId="ListNumber5">
    <w:name w:val="List Number 5"/>
    <w:basedOn w:val="List5"/>
    <w:rsid w:val="002B01E5"/>
    <w:pPr>
      <w:numPr>
        <w:numId w:val="6"/>
      </w:numPr>
    </w:pPr>
  </w:style>
  <w:style w:type="paragraph" w:styleId="BlockText">
    <w:name w:val="Block Text"/>
    <w:basedOn w:val="Normal"/>
    <w:rsid w:val="002B01E5"/>
    <w:pPr>
      <w:spacing w:after="120"/>
      <w:ind w:left="1440" w:right="1440"/>
    </w:pPr>
  </w:style>
  <w:style w:type="character" w:customStyle="1" w:styleId="Subscript">
    <w:name w:val="Subscript"/>
    <w:basedOn w:val="DefaultParagraphFont"/>
    <w:rsid w:val="002B01E5"/>
    <w:rPr>
      <w:sz w:val="16"/>
      <w:vertAlign w:val="subscript"/>
    </w:rPr>
  </w:style>
  <w:style w:type="character" w:customStyle="1" w:styleId="Superscript">
    <w:name w:val="Superscript"/>
    <w:basedOn w:val="DefaultParagraphFont"/>
    <w:rsid w:val="002B01E5"/>
    <w:rPr>
      <w:sz w:val="16"/>
      <w:vertAlign w:val="superscript"/>
    </w:rPr>
  </w:style>
  <w:style w:type="character" w:customStyle="1" w:styleId="Symbols">
    <w:name w:val="Symbols"/>
    <w:basedOn w:val="DefaultParagraphFont"/>
    <w:rsid w:val="002B01E5"/>
    <w:rPr>
      <w:rFonts w:ascii="Symbol" w:hAnsi="Symbol"/>
    </w:rPr>
  </w:style>
  <w:style w:type="character" w:customStyle="1" w:styleId="MenuOptions">
    <w:name w:val="Menu Options"/>
    <w:basedOn w:val="DefaultParagraphFont"/>
    <w:rsid w:val="002B01E5"/>
    <w:rPr>
      <w:rFonts w:ascii="Arial Narrow" w:hAnsi="Arial Narrow"/>
      <w:smallCaps/>
    </w:rPr>
  </w:style>
  <w:style w:type="character" w:customStyle="1" w:styleId="Buttons">
    <w:name w:val="Buttons"/>
    <w:basedOn w:val="DefaultParagraphFont"/>
    <w:rsid w:val="002B01E5"/>
    <w:rPr>
      <w:b/>
    </w:rPr>
  </w:style>
  <w:style w:type="character" w:customStyle="1" w:styleId="Underlined">
    <w:name w:val="Underlined"/>
    <w:basedOn w:val="DefaultParagraphFont"/>
    <w:rsid w:val="002B01E5"/>
    <w:rPr>
      <w:u w:val="single"/>
    </w:rPr>
  </w:style>
  <w:style w:type="paragraph" w:customStyle="1" w:styleId="TableBodyTextRight">
    <w:name w:val="Table Body Text Right"/>
    <w:basedOn w:val="TableBodyText"/>
    <w:rsid w:val="002B01E5"/>
    <w:pPr>
      <w:widowControl w:val="0"/>
      <w:autoSpaceDE w:val="0"/>
      <w:autoSpaceDN w:val="0"/>
      <w:adjustRightInd w:val="0"/>
      <w:jc w:val="right"/>
    </w:pPr>
    <w:rPr>
      <w:rFonts w:cs="Arial"/>
      <w:szCs w:val="18"/>
    </w:rPr>
  </w:style>
  <w:style w:type="paragraph" w:customStyle="1" w:styleId="CopyrightText">
    <w:name w:val="Copyright Text"/>
    <w:basedOn w:val="BodyText"/>
    <w:rsid w:val="002B01E5"/>
    <w:rPr>
      <w:sz w:val="18"/>
    </w:rPr>
  </w:style>
  <w:style w:type="paragraph" w:customStyle="1" w:styleId="BodySmallRight">
    <w:name w:val="Body Small Right"/>
    <w:basedOn w:val="BodyTextRight"/>
    <w:rsid w:val="002B01E5"/>
    <w:rPr>
      <w:sz w:val="18"/>
      <w:szCs w:val="18"/>
    </w:rPr>
  </w:style>
  <w:style w:type="paragraph" w:customStyle="1" w:styleId="MarginEdition">
    <w:name w:val="Margin Edition"/>
    <w:basedOn w:val="MarginNote"/>
    <w:rsid w:val="002B01E5"/>
    <w:pPr>
      <w:spacing w:before="0" w:after="0"/>
    </w:pPr>
    <w:rPr>
      <w:rFonts w:ascii="Times New Roman" w:hAnsi="Times New Roman"/>
      <w:color w:val="999999"/>
    </w:rPr>
  </w:style>
  <w:style w:type="paragraph" w:customStyle="1" w:styleId="Spacer">
    <w:name w:val="Spacer"/>
    <w:basedOn w:val="Normal"/>
    <w:rsid w:val="002B01E5"/>
    <w:rPr>
      <w:sz w:val="2"/>
      <w:szCs w:val="2"/>
    </w:rPr>
  </w:style>
  <w:style w:type="character" w:customStyle="1" w:styleId="Small">
    <w:name w:val="Small"/>
    <w:basedOn w:val="DefaultParagraphFont"/>
    <w:rsid w:val="002B01E5"/>
    <w:rPr>
      <w:sz w:val="16"/>
    </w:rPr>
  </w:style>
  <w:style w:type="paragraph" w:customStyle="1" w:styleId="WideTable">
    <w:name w:val="Wide Table"/>
    <w:basedOn w:val="Normal"/>
    <w:rsid w:val="002B01E5"/>
    <w:pPr>
      <w:ind w:left="-1418"/>
    </w:pPr>
    <w:rPr>
      <w:sz w:val="2"/>
      <w:szCs w:val="2"/>
    </w:rPr>
  </w:style>
  <w:style w:type="character" w:styleId="PageNumber">
    <w:name w:val="page number"/>
    <w:basedOn w:val="DefaultParagraphFont"/>
    <w:rsid w:val="002B01E5"/>
  </w:style>
  <w:style w:type="paragraph" w:styleId="Quote">
    <w:name w:val="Quote"/>
    <w:basedOn w:val="Heading1"/>
    <w:link w:val="QuoteChar"/>
    <w:qFormat/>
    <w:rsid w:val="002B01E5"/>
    <w:rPr>
      <w:b w:val="0"/>
      <w:sz w:val="72"/>
      <w:szCs w:val="72"/>
      <w:lang w:val="en-NZ"/>
    </w:rPr>
  </w:style>
  <w:style w:type="character" w:customStyle="1" w:styleId="QuoteChar">
    <w:name w:val="Quote Char"/>
    <w:basedOn w:val="DefaultParagraphFont"/>
    <w:link w:val="Quote"/>
    <w:rsid w:val="002B0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1E5"/>
    <w:pPr>
      <w:pageBreakBefore/>
    </w:pPr>
  </w:style>
  <w:style w:type="paragraph" w:customStyle="1" w:styleId="Border">
    <w:name w:val="Border"/>
    <w:basedOn w:val="Normal"/>
    <w:qFormat/>
    <w:rsid w:val="002B0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1E5"/>
    <w:rPr>
      <w:b/>
      <w:bCs/>
      <w:i/>
      <w:iCs/>
      <w:color w:val="auto"/>
    </w:rPr>
  </w:style>
  <w:style w:type="paragraph" w:styleId="IntenseQuote">
    <w:name w:val="Intense Quote"/>
    <w:basedOn w:val="Normal"/>
    <w:next w:val="Normal"/>
    <w:link w:val="IntenseQuoteChar"/>
    <w:uiPriority w:val="30"/>
    <w:qFormat/>
    <w:rsid w:val="002B0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1E5"/>
    <w:rPr>
      <w:smallCaps/>
      <w:color w:val="auto"/>
      <w:u w:val="single"/>
    </w:rPr>
  </w:style>
  <w:style w:type="character" w:styleId="IntenseReference">
    <w:name w:val="Intense Reference"/>
    <w:basedOn w:val="DefaultParagraphFont"/>
    <w:uiPriority w:val="32"/>
    <w:qFormat/>
    <w:rsid w:val="002B01E5"/>
    <w:rPr>
      <w:b/>
      <w:bCs/>
      <w:smallCaps/>
      <w:color w:val="auto"/>
      <w:spacing w:val="5"/>
      <w:u w:val="single"/>
    </w:rPr>
  </w:style>
  <w:style w:type="paragraph" w:customStyle="1" w:styleId="2ColumnHeading">
    <w:name w:val="2Column Heading"/>
    <w:basedOn w:val="BodyText"/>
    <w:qFormat/>
    <w:rsid w:val="002B01E5"/>
    <w:pPr>
      <w:spacing w:after="60"/>
      <w:ind w:left="-2268"/>
    </w:pPr>
    <w:rPr>
      <w:b/>
    </w:rPr>
  </w:style>
  <w:style w:type="paragraph" w:customStyle="1" w:styleId="Heading1TOC">
    <w:name w:val="Heading1 TOC"/>
    <w:basedOn w:val="Normal"/>
    <w:qFormat/>
    <w:rsid w:val="002B01E5"/>
    <w:pPr>
      <w:spacing w:before="240" w:after="120"/>
    </w:pPr>
    <w:rPr>
      <w:rFonts w:ascii="Times New Roman" w:hAnsi="Times New Roman"/>
      <w:b/>
      <w:sz w:val="32"/>
    </w:rPr>
  </w:style>
  <w:style w:type="paragraph" w:customStyle="1" w:styleId="Heading2TOC">
    <w:name w:val="Heading2 TOC"/>
    <w:basedOn w:val="Normal"/>
    <w:qFormat/>
    <w:rsid w:val="002B01E5"/>
    <w:pPr>
      <w:spacing w:before="240" w:after="60"/>
    </w:pPr>
    <w:rPr>
      <w:rFonts w:ascii="Times New Roman" w:hAnsi="Times New Roman"/>
      <w:b/>
      <w:sz w:val="28"/>
    </w:rPr>
  </w:style>
  <w:style w:type="character" w:customStyle="1" w:styleId="Underline">
    <w:name w:val="Underline"/>
    <w:basedOn w:val="DefaultParagraphFont"/>
    <w:qFormat/>
    <w:rsid w:val="002B01E5"/>
    <w:rPr>
      <w:u w:val="single"/>
    </w:rPr>
  </w:style>
  <w:style w:type="character" w:customStyle="1" w:styleId="BoldandItalics">
    <w:name w:val="Bold and Italics"/>
    <w:qFormat/>
    <w:rsid w:val="002B01E5"/>
    <w:rPr>
      <w:b/>
      <w:i/>
      <w:u w:val="none"/>
    </w:rPr>
  </w:style>
  <w:style w:type="paragraph" w:styleId="BalloonText">
    <w:name w:val="Balloon Text"/>
    <w:basedOn w:val="Normal"/>
    <w:link w:val="BalloonTextChar"/>
    <w:rsid w:val="002B01E5"/>
    <w:rPr>
      <w:rFonts w:ascii="Tahoma" w:hAnsi="Tahoma" w:cs="Tahoma"/>
      <w:sz w:val="16"/>
      <w:szCs w:val="16"/>
    </w:rPr>
  </w:style>
  <w:style w:type="character" w:customStyle="1" w:styleId="BalloonTextChar">
    <w:name w:val="Balloon Text Char"/>
    <w:basedOn w:val="DefaultParagraphFont"/>
    <w:link w:val="BalloonText"/>
    <w:rsid w:val="002B0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1E5"/>
    <w:rPr>
      <w:b/>
      <w:color w:val="660033"/>
      <w:spacing w:val="0"/>
    </w:rPr>
  </w:style>
  <w:style w:type="paragraph" w:customStyle="1" w:styleId="Nameditemlist">
    <w:name w:val="Named item list"/>
    <w:basedOn w:val="BodyText"/>
    <w:qFormat/>
    <w:rsid w:val="002B01E5"/>
    <w:pPr>
      <w:tabs>
        <w:tab w:val="left" w:pos="2835"/>
      </w:tabs>
      <w:ind w:left="2835" w:hanging="2835"/>
    </w:pPr>
  </w:style>
  <w:style w:type="paragraph" w:customStyle="1" w:styleId="BodyTextnopadding">
    <w:name w:val="Body Text no padding"/>
    <w:basedOn w:val="BodyText"/>
    <w:qFormat/>
    <w:rsid w:val="002B01E5"/>
    <w:pPr>
      <w:spacing w:before="0" w:after="0"/>
    </w:pPr>
  </w:style>
  <w:style w:type="paragraph" w:customStyle="1" w:styleId="BodyTextBold">
    <w:name w:val="Body Text Bold"/>
    <w:basedOn w:val="BodyText"/>
    <w:qFormat/>
    <w:rsid w:val="002B01E5"/>
    <w:rPr>
      <w:b/>
    </w:rPr>
  </w:style>
  <w:style w:type="character" w:styleId="Hyperlink">
    <w:name w:val="Hyperlink"/>
    <w:basedOn w:val="DefaultParagraphFont"/>
    <w:uiPriority w:val="99"/>
    <w:unhideWhenUsed/>
    <w:rsid w:val="00BD5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3979</Characters>
  <Application>Microsoft Office Word</Application>
  <DocSecurity>0</DocSecurity>
  <Lines>198</Lines>
  <Paragraphs>109</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MEM09003 Prepare basic engineering drawing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