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1B7" w:rsidP="00E95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MEM09003 Prepare basic engineering drawing</w:t>
      </w:r>
      <w:r>
        <w:fldChar w:fldCharType="end"/>
      </w:r>
    </w:p>
    <w:p w:rsidR="00E951B7" w:rsidP="00E951B7">
      <w:pPr>
        <w:pStyle w:val="Version"/>
        <w:sectPr w:rsidSect="00D37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750" w:rsidP="00D37750">
      <w:pPr>
        <w:pStyle w:val="SuperHeading"/>
      </w:pPr>
      <w:r w:rsidRPr="00D37750">
        <w:t>Assessment Requirements for MEM09003 Prepare basic engineering drawing</w:t>
      </w:r>
    </w:p>
    <w:p w:rsidR="00000000" w:rsidRPr="00D37750" w:rsidP="00D37750">
      <w:pPr>
        <w:pStyle w:val="Heading1"/>
      </w:pPr>
      <w:bookmarkStart w:id="1" w:name="O_959819"/>
      <w:bookmarkEnd w:id="1"/>
      <w:r w:rsidRPr="00D37750">
        <w:t>Modification History</w:t>
      </w:r>
    </w:p>
    <w:p w:rsidR="00000000" w:rsidRPr="00D37750" w:rsidP="00E951B7">
      <w:pPr>
        <w:pStyle w:val="BodyText"/>
      </w:pPr>
      <w:r w:rsidRPr="00D37750">
        <w:t xml:space="preserve">Release 1. Supersedes and is equivalent to MEM09003B Prepare basic engineering drawing </w:t>
      </w:r>
    </w:p>
    <w:p w:rsidR="00000000" w:rsidRPr="00D37750" w:rsidP="00D37750">
      <w:pPr>
        <w:pStyle w:val="Heading1"/>
      </w:pPr>
      <w:bookmarkStart w:id="2" w:name="O_959822"/>
      <w:bookmarkEnd w:id="2"/>
      <w:r w:rsidRPr="00D37750">
        <w:t>Performance Evidence</w:t>
      </w:r>
    </w:p>
    <w:p w:rsidR="00000000" w:rsidRPr="00D37750" w:rsidP="00E951B7">
      <w:pPr>
        <w:pStyle w:val="BodyText"/>
      </w:pPr>
      <w:r w:rsidRPr="00D37750">
        <w:t>Evidence required to demonstrate competence in this unit must be relevant to and satisfy the requirements of the elements and performance criteria on at least two (2) occasions and include:</w:t>
      </w:r>
    </w:p>
    <w:p w:rsidR="00000000" w:rsidRPr="00D37750" w:rsidP="00D37750">
      <w:pPr>
        <w:pStyle w:val="ListBullet"/>
      </w:pPr>
      <w:r w:rsidRPr="00D37750">
        <w:t>following work instructions, standard operating procedures (SOPs)</w:t>
      </w:r>
      <w:r w:rsidRPr="00D37750">
        <w:t xml:space="preserve"> and safe work practices</w:t>
      </w:r>
    </w:p>
    <w:p w:rsidR="00000000" w:rsidRPr="00D37750" w:rsidP="00D37750">
      <w:pPr>
        <w:pStyle w:val="ListBullet"/>
      </w:pPr>
      <w:r w:rsidRPr="00D37750">
        <w:t>identifying and confirming drawing requirements and purpose through consultation with relevant personnel, and establishing timeframes for completion</w:t>
      </w:r>
    </w:p>
    <w:p w:rsidR="00000000" w:rsidRPr="00D37750" w:rsidP="00D37750">
      <w:pPr>
        <w:pStyle w:val="ListBullet"/>
      </w:pPr>
      <w:r w:rsidRPr="00D37750">
        <w:t xml:space="preserve">setting up and using drafting equipment </w:t>
      </w:r>
    </w:p>
    <w:p w:rsidR="00000000" w:rsidRPr="00D37750" w:rsidP="00D37750">
      <w:pPr>
        <w:pStyle w:val="ListBullet"/>
      </w:pPr>
      <w:r w:rsidRPr="00D37750">
        <w:t>applying drafting principles in accordanc</w:t>
      </w:r>
      <w:r w:rsidRPr="00D37750">
        <w:t xml:space="preserve">e with AS 1100.101-1992 (R2014) Technical drawing – General principles or equivalent </w:t>
      </w:r>
    </w:p>
    <w:p w:rsidR="00000000" w:rsidRPr="00D37750" w:rsidP="00D37750">
      <w:pPr>
        <w:pStyle w:val="ListBullet"/>
      </w:pPr>
      <w:r w:rsidRPr="00D37750">
        <w:t>resolving any issues in the preparation of engineering drawing in consultation with a supervisor</w:t>
      </w:r>
    </w:p>
    <w:p w:rsidR="00000000" w:rsidRPr="00D37750" w:rsidP="00D37750">
      <w:pPr>
        <w:pStyle w:val="ListBullet"/>
      </w:pPr>
      <w:r w:rsidRPr="00D37750">
        <w:t xml:space="preserve">undertaking numerical operations, geometry and calculations and formulae </w:t>
      </w:r>
      <w:r w:rsidRPr="00D37750">
        <w:t>associated with preparing basic engineering drawings</w:t>
      </w:r>
    </w:p>
    <w:p w:rsidR="00000000" w:rsidRPr="00D37750" w:rsidP="00D37750">
      <w:pPr>
        <w:pStyle w:val="ListBullet"/>
      </w:pPr>
      <w:r w:rsidRPr="00D37750">
        <w:t>compiling an engineering parts list by component type</w:t>
      </w:r>
    </w:p>
    <w:p w:rsidR="00000000" w:rsidRPr="00D37750" w:rsidP="00D37750">
      <w:pPr>
        <w:pStyle w:val="ListBullet"/>
      </w:pPr>
      <w:r w:rsidRPr="00D37750">
        <w:t>issuing completed drawing and parts list to relevant personnel</w:t>
      </w:r>
    </w:p>
    <w:p w:rsidR="00000000" w:rsidRPr="00D37750" w:rsidP="00D37750">
      <w:pPr>
        <w:pStyle w:val="ListBullet"/>
      </w:pPr>
      <w:r w:rsidRPr="00D37750">
        <w:t>storing and cataloguing approved drawing and parts list in accordance with SOPs.</w:t>
      </w:r>
    </w:p>
    <w:p w:rsidR="00000000" w:rsidRPr="00D37750" w:rsidP="00D37750">
      <w:pPr>
        <w:pStyle w:val="AllowPageBreak"/>
      </w:pPr>
    </w:p>
    <w:p w:rsidR="00000000" w:rsidRPr="00D37750" w:rsidP="00D37750">
      <w:pPr>
        <w:pStyle w:val="Heading1"/>
      </w:pPr>
      <w:bookmarkStart w:id="3" w:name="O_959821"/>
      <w:bookmarkEnd w:id="3"/>
      <w:r w:rsidRPr="00D37750">
        <w:t>Knowledge Evidence</w:t>
      </w:r>
    </w:p>
    <w:p w:rsidR="00000000" w:rsidRPr="00D37750" w:rsidP="00E951B7">
      <w:pPr>
        <w:pStyle w:val="BodyText"/>
      </w:pPr>
      <w:r w:rsidRPr="00D37750">
        <w:t>Evidence required to demonstrate the required knowledge for this unit must be relevant to and satisfy the requirements of the elements and performance criteria and include knowledge of:</w:t>
      </w:r>
    </w:p>
    <w:p w:rsidR="00000000" w:rsidRPr="00D37750" w:rsidP="00D37750">
      <w:pPr>
        <w:pStyle w:val="ListBullet"/>
      </w:pPr>
      <w:r w:rsidRPr="00D37750">
        <w:t xml:space="preserve">safe work practices and procedures </w:t>
      </w:r>
    </w:p>
    <w:p w:rsidR="00000000" w:rsidRPr="00D37750" w:rsidP="00D37750">
      <w:pPr>
        <w:pStyle w:val="ListBullet"/>
      </w:pPr>
      <w:r w:rsidRPr="00D37750">
        <w:t>re</w:t>
      </w:r>
      <w:r w:rsidRPr="00D37750">
        <w:t>quirements and purpose of drawing and engineering parts list to be produced</w:t>
      </w:r>
    </w:p>
    <w:p w:rsidR="00000000" w:rsidRPr="00D37750" w:rsidP="00D37750">
      <w:pPr>
        <w:pStyle w:val="ListBullet"/>
      </w:pPr>
      <w:r w:rsidRPr="00D37750">
        <w:t>sources and standards of relevant data and information to which drawing is to be produced</w:t>
      </w:r>
    </w:p>
    <w:p w:rsidR="00000000" w:rsidRPr="00D37750" w:rsidP="00D37750">
      <w:pPr>
        <w:pStyle w:val="ListBullet"/>
      </w:pPr>
      <w:r w:rsidRPr="00D37750">
        <w:t>person(s) who can confirm drawing requirements and timeframe for completion</w:t>
      </w:r>
    </w:p>
    <w:p w:rsidR="00000000" w:rsidRPr="00D37750" w:rsidP="00D37750">
      <w:pPr>
        <w:pStyle w:val="ListBullet"/>
      </w:pPr>
      <w:r w:rsidRPr="00D37750">
        <w:t xml:space="preserve">method of drawing preparation and reasons for selecting the chosen drawing method </w:t>
      </w:r>
    </w:p>
    <w:p w:rsidR="00000000" w:rsidRPr="00D37750" w:rsidP="00D37750">
      <w:pPr>
        <w:pStyle w:val="ListBullet"/>
      </w:pPr>
      <w:r w:rsidRPr="00D37750">
        <w:t>procedures for:</w:t>
      </w:r>
    </w:p>
    <w:p w:rsidR="00000000" w:rsidRPr="00D37750" w:rsidP="00D37750">
      <w:pPr>
        <w:pStyle w:val="ListBullet2"/>
      </w:pPr>
      <w:r w:rsidRPr="00D37750">
        <w:t xml:space="preserve">producing an initial drawing </w:t>
      </w:r>
    </w:p>
    <w:p w:rsidR="00000000" w:rsidRPr="00D37750" w:rsidP="00D37750">
      <w:pPr>
        <w:pStyle w:val="ListBullet2"/>
      </w:pPr>
      <w:r w:rsidRPr="00D37750">
        <w:t>changing an existing drawing</w:t>
      </w:r>
    </w:p>
    <w:p w:rsidR="00000000" w:rsidRPr="00D37750" w:rsidP="00D37750">
      <w:pPr>
        <w:pStyle w:val="ListBullet2"/>
      </w:pPr>
      <w:r w:rsidRPr="00D37750">
        <w:t>checking and approving drawings and persons responsible</w:t>
      </w:r>
    </w:p>
    <w:p w:rsidR="00000000" w:rsidRPr="00D37750" w:rsidP="00D37750">
      <w:pPr>
        <w:pStyle w:val="ListBullet2"/>
      </w:pPr>
      <w:r w:rsidRPr="00D37750">
        <w:t>copying, issuing and recording approved d</w:t>
      </w:r>
      <w:r w:rsidRPr="00D37750">
        <w:t>rawings and or parts lists</w:t>
      </w:r>
    </w:p>
    <w:p w:rsidR="00000000" w:rsidRPr="00D37750" w:rsidP="00D37750">
      <w:pPr>
        <w:pStyle w:val="ListBullet2"/>
      </w:pPr>
      <w:r w:rsidRPr="00D37750">
        <w:t>safe handling and storage and filing of drawings and/or parts lists and consequences of using inappropriate techniques</w:t>
      </w:r>
    </w:p>
    <w:p w:rsidR="00000000" w:rsidRPr="00D37750" w:rsidP="00D37750">
      <w:pPr>
        <w:pStyle w:val="ListBullet"/>
      </w:pPr>
      <w:r w:rsidRPr="00D37750">
        <w:t xml:space="preserve">drafting principles to be applied to the production and changing of a drawing </w:t>
      </w:r>
    </w:p>
    <w:p w:rsidR="00000000" w:rsidRPr="00D37750" w:rsidP="00D37750">
      <w:pPr>
        <w:pStyle w:val="ListBullet"/>
      </w:pPr>
      <w:r w:rsidRPr="00D37750">
        <w:t xml:space="preserve">consequences of inappropriate </w:t>
      </w:r>
      <w:r w:rsidRPr="00D37750">
        <w:t>and incomplete components parts lists</w:t>
      </w:r>
    </w:p>
    <w:p w:rsidR="00000000" w:rsidRPr="00D37750" w:rsidP="00D37750">
      <w:pPr>
        <w:pStyle w:val="ListBullet"/>
      </w:pPr>
      <w:r w:rsidRPr="00D37750">
        <w:t>personnel to whom copies of approved drawings and or parts lists can be issued.</w:t>
      </w:r>
    </w:p>
    <w:p w:rsidR="00000000" w:rsidRPr="00D37750" w:rsidP="00D37750">
      <w:pPr>
        <w:pStyle w:val="AllowPageBreak"/>
      </w:pPr>
    </w:p>
    <w:p w:rsidR="00000000" w:rsidRPr="00D37750" w:rsidP="00D37750">
      <w:pPr>
        <w:pStyle w:val="Heading1"/>
      </w:pPr>
      <w:bookmarkStart w:id="4" w:name="O_959820"/>
      <w:bookmarkEnd w:id="4"/>
      <w:r w:rsidRPr="00D37750">
        <w:t>Assessment Conditions</w:t>
      </w:r>
    </w:p>
    <w:p w:rsidR="00000000" w:rsidRPr="00D37750" w:rsidP="00D37750">
      <w:pPr>
        <w:pStyle w:val="ListBullet"/>
      </w:pPr>
      <w:r w:rsidRPr="00D37750">
        <w:t>Assessors must:</w:t>
      </w:r>
    </w:p>
    <w:p w:rsidR="00000000" w:rsidRPr="00D37750" w:rsidP="00D37750">
      <w:pPr>
        <w:pStyle w:val="ListBullet2"/>
      </w:pPr>
      <w:r w:rsidRPr="00D37750">
        <w:t>have vocational competency in preparing basic engineering drawing at least to the</w:t>
      </w:r>
      <w:r w:rsidRPr="00D37750">
        <w:t xml:space="preserve"> level being assessed with relevant industry knowledge and experience</w:t>
      </w:r>
    </w:p>
    <w:p w:rsidR="00000000" w:rsidRPr="00D37750" w:rsidP="00D37750">
      <w:pPr>
        <w:pStyle w:val="ListBullet2"/>
      </w:pPr>
      <w:r w:rsidRPr="00D37750">
        <w:t xml:space="preserve">satisfy the assessor requirements in the </w:t>
      </w:r>
      <w:r w:rsidRPr="00D37750">
        <w:rPr>
          <w:rStyle w:val="Emphasis"/>
        </w:rPr>
        <w:t xml:space="preserve">Standards for Registered Training Organisations 2015 </w:t>
      </w:r>
      <w:r w:rsidRPr="00D37750">
        <w:t>or its replacement</w:t>
      </w:r>
      <w:r w:rsidRPr="00D37750">
        <w:rPr>
          <w:rStyle w:val="Emphasis"/>
        </w:rPr>
        <w:t xml:space="preserve"> </w:t>
      </w:r>
      <w:r w:rsidRPr="00D37750">
        <w:t xml:space="preserve">and comply with the </w:t>
      </w:r>
      <w:r w:rsidRPr="00D37750">
        <w:rPr>
          <w:rStyle w:val="Emphasis"/>
        </w:rPr>
        <w:t xml:space="preserve">National Vocational Education and Training Regulator Act 2011, </w:t>
      </w:r>
      <w:r w:rsidRPr="00D37750">
        <w:t>its replacement</w:t>
      </w:r>
      <w:r w:rsidRPr="00D37750">
        <w:rPr>
          <w:rStyle w:val="Emphasis"/>
        </w:rPr>
        <w:t xml:space="preserve"> </w:t>
      </w:r>
      <w:r w:rsidRPr="00D37750">
        <w:t>or equivalent legislation covering VET regulation in a non-referring state/territory as the case requires</w:t>
      </w:r>
    </w:p>
    <w:p w:rsidR="00000000" w:rsidRPr="00D37750" w:rsidP="00D37750">
      <w:pPr>
        <w:pStyle w:val="ListBullet"/>
      </w:pPr>
      <w:r w:rsidRPr="00D37750">
        <w:t>Where possible assessment must occur in operational workplace situatio</w:t>
      </w:r>
      <w:r w:rsidRPr="00D37750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D37750">
        <w:t>ts of workplace performance, including environment, task skills, task management skills, contingency management skills and job role environment skills</w:t>
      </w:r>
    </w:p>
    <w:p w:rsidR="00000000" w:rsidRPr="00D37750" w:rsidP="00D37750">
      <w:pPr>
        <w:pStyle w:val="ListBullet"/>
      </w:pPr>
      <w:r w:rsidRPr="00D37750">
        <w:t>Conditions for assessment must include access to all tools, equipment, materials and documentation requir</w:t>
      </w:r>
      <w:r w:rsidRPr="00D37750">
        <w:t>ed, including relevant workplace procedures, product and manufacturing specifications</w:t>
      </w:r>
    </w:p>
    <w:p w:rsidR="00000000" w:rsidRPr="00D37750" w:rsidP="00D37750">
      <w:pPr>
        <w:pStyle w:val="ListBullet"/>
      </w:pPr>
      <w:r w:rsidRPr="00D37750">
        <w:t>Assessment processes and techniques must be appropriate to the language, literacy and numeracy requirements of the work being performed and the needs of the candidate.</w:t>
      </w:r>
    </w:p>
    <w:p w:rsidR="00000000" w:rsidRPr="00D37750" w:rsidP="00D37750">
      <w:pPr>
        <w:pStyle w:val="AllowPageBreak"/>
      </w:pPr>
    </w:p>
    <w:p w:rsidR="00000000" w:rsidRPr="00D37750" w:rsidP="00D37750">
      <w:pPr>
        <w:pStyle w:val="Heading1"/>
      </w:pPr>
      <w:bookmarkStart w:id="5" w:name="O_959818"/>
      <w:bookmarkEnd w:id="5"/>
      <w:r w:rsidRPr="00D37750">
        <w:t>Links</w:t>
      </w:r>
    </w:p>
    <w:p w:rsidR="00000000" w:rsidRPr="00D37750" w:rsidP="00E951B7">
      <w:pPr>
        <w:pStyle w:val="BodyText"/>
      </w:pPr>
      <w:r w:rsidRPr="00D37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7E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7750" w:rsidP="00D37750"/>
    <w:sectPr w:rsidSect="00D37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750" w:rsidRPr="00E951B7" w:rsidP="00E95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B7" w:rsidP="00D37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1B7" w:rsidP="00D37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51B7" w:rsidP="00D37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750" w:rsidRPr="00E951B7" w:rsidP="00E95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B7" w:rsidRPr="002D2AF8" w:rsidP="00D37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MEM09003 Prepare basic engineering drawing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951B7" w:rsidP="00D37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82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680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AA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750"/>
  </w:style>
  <w:style w:type="character" w:customStyle="1" w:styleId="Heading1Char">
    <w:name w:val="Heading 1 Char"/>
    <w:basedOn w:val="DefaultParagraphFont"/>
    <w:link w:val="Heading1"/>
    <w:rsid w:val="00D37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7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7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750"/>
    <w:rPr>
      <w:i/>
    </w:rPr>
  </w:style>
  <w:style w:type="paragraph" w:customStyle="1" w:styleId="SuperHeading">
    <w:name w:val="SuperHeading"/>
    <w:basedOn w:val="Normal"/>
    <w:rsid w:val="00D37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750"/>
    <w:rPr>
      <w:b/>
      <w:spacing w:val="0"/>
    </w:rPr>
  </w:style>
  <w:style w:type="paragraph" w:customStyle="1" w:styleId="SuperTitle">
    <w:name w:val="SuperTitle"/>
    <w:basedOn w:val="Title"/>
    <w:rsid w:val="00D37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750"/>
  </w:style>
  <w:style w:type="paragraph" w:styleId="TableofFigures">
    <w:name w:val="table of figures"/>
    <w:basedOn w:val="Normal"/>
    <w:next w:val="Normal"/>
    <w:semiHidden/>
    <w:rsid w:val="00D37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750"/>
    <w:rPr>
      <w:rFonts w:ascii="Wingdings" w:hAnsi="Wingdings"/>
    </w:rPr>
  </w:style>
  <w:style w:type="paragraph" w:customStyle="1" w:styleId="TableHeading">
    <w:name w:val="Table Heading"/>
    <w:basedOn w:val="HeadingBase"/>
    <w:rsid w:val="00D37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750"/>
    <w:rPr>
      <w:color w:val="0033CC"/>
      <w:u w:val="none"/>
    </w:rPr>
  </w:style>
  <w:style w:type="paragraph" w:customStyle="1" w:styleId="BodyTextRight">
    <w:name w:val="Body Text Right"/>
    <w:basedOn w:val="BodyText"/>
    <w:rsid w:val="00D37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750"/>
    <w:rPr>
      <w:sz w:val="32"/>
    </w:rPr>
  </w:style>
  <w:style w:type="paragraph" w:customStyle="1" w:styleId="HeadingProcedure">
    <w:name w:val="Heading Procedure"/>
    <w:basedOn w:val="HeadingBase"/>
    <w:next w:val="Normal"/>
    <w:rsid w:val="00D37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750"/>
    <w:pPr>
      <w:spacing w:before="60" w:after="60"/>
    </w:pPr>
  </w:style>
  <w:style w:type="paragraph" w:styleId="ListContinue">
    <w:name w:val="List Continue"/>
    <w:basedOn w:val="List"/>
    <w:rsid w:val="00D37750"/>
    <w:pPr>
      <w:ind w:firstLine="0"/>
    </w:pPr>
  </w:style>
  <w:style w:type="paragraph" w:customStyle="1" w:styleId="ListNote">
    <w:name w:val="List Note"/>
    <w:basedOn w:val="List"/>
    <w:rsid w:val="00D37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750"/>
    <w:rPr>
      <w:rFonts w:ascii="Courier New" w:hAnsi="Courier New"/>
    </w:rPr>
  </w:style>
  <w:style w:type="paragraph" w:customStyle="1" w:styleId="NoteBullet">
    <w:name w:val="Note Bullet"/>
    <w:basedOn w:val="Note"/>
    <w:rsid w:val="00D37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750"/>
    <w:rPr>
      <w:b/>
      <w:smallCaps/>
    </w:rPr>
  </w:style>
  <w:style w:type="paragraph" w:customStyle="1" w:styleId="TableListNumber">
    <w:name w:val="Table List Number"/>
    <w:basedOn w:val="ListNumber"/>
    <w:rsid w:val="00D37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750"/>
    <w:pPr>
      <w:numPr>
        <w:numId w:val="9"/>
      </w:numPr>
    </w:pPr>
  </w:style>
  <w:style w:type="paragraph" w:customStyle="1" w:styleId="ListAlpha2">
    <w:name w:val="List Alpha 2"/>
    <w:basedOn w:val="List2"/>
    <w:rsid w:val="00D37750"/>
    <w:pPr>
      <w:numPr>
        <w:numId w:val="8"/>
      </w:numPr>
    </w:pPr>
  </w:style>
  <w:style w:type="paragraph" w:styleId="List2">
    <w:name w:val="List 2"/>
    <w:basedOn w:val="BodyText"/>
    <w:rsid w:val="00D37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750"/>
    <w:pPr>
      <w:numPr>
        <w:numId w:val="4"/>
      </w:numPr>
    </w:pPr>
  </w:style>
  <w:style w:type="paragraph" w:styleId="ListContinue2">
    <w:name w:val="List Continue 2"/>
    <w:basedOn w:val="List2"/>
    <w:rsid w:val="00D37750"/>
    <w:pPr>
      <w:ind w:firstLine="0"/>
    </w:pPr>
  </w:style>
  <w:style w:type="paragraph" w:styleId="ListContinue3">
    <w:name w:val="List Continue 3"/>
    <w:basedOn w:val="List3"/>
    <w:rsid w:val="00D37750"/>
    <w:pPr>
      <w:ind w:left="1021" w:firstLine="0"/>
    </w:pPr>
  </w:style>
  <w:style w:type="paragraph" w:styleId="ListContinue4">
    <w:name w:val="List Continue 4"/>
    <w:basedOn w:val="List4"/>
    <w:rsid w:val="00D37750"/>
    <w:pPr>
      <w:ind w:firstLine="0"/>
    </w:pPr>
  </w:style>
  <w:style w:type="paragraph" w:styleId="ListContinue5">
    <w:name w:val="List Continue 5"/>
    <w:basedOn w:val="List5"/>
    <w:rsid w:val="00D37750"/>
    <w:pPr>
      <w:ind w:firstLine="0"/>
    </w:pPr>
  </w:style>
  <w:style w:type="paragraph" w:styleId="ListNumber3">
    <w:name w:val="List Number 3"/>
    <w:basedOn w:val="List3"/>
    <w:rsid w:val="00D37750"/>
    <w:pPr>
      <w:numPr>
        <w:numId w:val="5"/>
      </w:numPr>
    </w:pPr>
  </w:style>
  <w:style w:type="paragraph" w:styleId="ListNumber4">
    <w:name w:val="List Number 4"/>
    <w:basedOn w:val="List4"/>
    <w:rsid w:val="00D37750"/>
    <w:pPr>
      <w:numPr>
        <w:numId w:val="6"/>
      </w:numPr>
    </w:pPr>
  </w:style>
  <w:style w:type="paragraph" w:styleId="ListNumber5">
    <w:name w:val="List Number 5"/>
    <w:basedOn w:val="List5"/>
    <w:rsid w:val="00D37750"/>
    <w:pPr>
      <w:numPr>
        <w:numId w:val="7"/>
      </w:numPr>
    </w:pPr>
  </w:style>
  <w:style w:type="paragraph" w:styleId="BlockText">
    <w:name w:val="Block Text"/>
    <w:basedOn w:val="Normal"/>
    <w:rsid w:val="00D37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750"/>
    <w:rPr>
      <w:sz w:val="16"/>
      <w:vertAlign w:val="superscript"/>
    </w:rPr>
  </w:style>
  <w:style w:type="character" w:customStyle="1" w:styleId="Symbols">
    <w:name w:val="Symbols"/>
    <w:basedOn w:val="DefaultParagraphFont"/>
    <w:rsid w:val="00D37750"/>
    <w:rPr>
      <w:rFonts w:ascii="Symbol" w:hAnsi="Symbol"/>
    </w:rPr>
  </w:style>
  <w:style w:type="character" w:customStyle="1" w:styleId="MenuOptions">
    <w:name w:val="Menu Options"/>
    <w:basedOn w:val="DefaultParagraphFont"/>
    <w:rsid w:val="00D37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750"/>
    <w:rPr>
      <w:b/>
    </w:rPr>
  </w:style>
  <w:style w:type="character" w:customStyle="1" w:styleId="Underlined">
    <w:name w:val="Underlined"/>
    <w:basedOn w:val="DefaultParagraphFont"/>
    <w:rsid w:val="00D37750"/>
    <w:rPr>
      <w:u w:val="single"/>
    </w:rPr>
  </w:style>
  <w:style w:type="paragraph" w:customStyle="1" w:styleId="TableBodyTextRight">
    <w:name w:val="Table Body Text Right"/>
    <w:basedOn w:val="TableBodyText"/>
    <w:rsid w:val="00D37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750"/>
    <w:rPr>
      <w:sz w:val="18"/>
    </w:rPr>
  </w:style>
  <w:style w:type="paragraph" w:customStyle="1" w:styleId="BodySmallRight">
    <w:name w:val="Body Small Right"/>
    <w:basedOn w:val="BodyTextRight"/>
    <w:rsid w:val="00D37750"/>
    <w:rPr>
      <w:sz w:val="18"/>
      <w:szCs w:val="18"/>
    </w:rPr>
  </w:style>
  <w:style w:type="paragraph" w:customStyle="1" w:styleId="MarginEdition">
    <w:name w:val="Margin Edition"/>
    <w:basedOn w:val="MarginNote"/>
    <w:rsid w:val="00D37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750"/>
    <w:rPr>
      <w:sz w:val="2"/>
      <w:szCs w:val="2"/>
    </w:rPr>
  </w:style>
  <w:style w:type="character" w:customStyle="1" w:styleId="Small">
    <w:name w:val="Small"/>
    <w:basedOn w:val="DefaultParagraphFont"/>
    <w:rsid w:val="00D37750"/>
    <w:rPr>
      <w:sz w:val="16"/>
    </w:rPr>
  </w:style>
  <w:style w:type="paragraph" w:customStyle="1" w:styleId="WideTable">
    <w:name w:val="Wide Table"/>
    <w:basedOn w:val="Normal"/>
    <w:rsid w:val="00D37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750"/>
  </w:style>
  <w:style w:type="paragraph" w:styleId="Quote">
    <w:name w:val="Quote"/>
    <w:basedOn w:val="Heading1"/>
    <w:link w:val="QuoteChar"/>
    <w:qFormat/>
    <w:rsid w:val="00D37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750"/>
    <w:pPr>
      <w:pageBreakBefore/>
    </w:pPr>
  </w:style>
  <w:style w:type="paragraph" w:customStyle="1" w:styleId="Border">
    <w:name w:val="Border"/>
    <w:basedOn w:val="Normal"/>
    <w:qFormat/>
    <w:rsid w:val="00D37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750"/>
    <w:rPr>
      <w:u w:val="single"/>
    </w:rPr>
  </w:style>
  <w:style w:type="character" w:customStyle="1" w:styleId="BoldandItalics">
    <w:name w:val="Bold and Italics"/>
    <w:qFormat/>
    <w:rsid w:val="00D37750"/>
    <w:rPr>
      <w:b/>
      <w:i/>
      <w:u w:val="none"/>
    </w:rPr>
  </w:style>
  <w:style w:type="paragraph" w:styleId="BalloonText">
    <w:name w:val="Balloon Text"/>
    <w:basedOn w:val="Normal"/>
    <w:link w:val="BalloonTextChar"/>
    <w:rsid w:val="00D37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750"/>
    <w:pPr>
      <w:spacing w:before="0" w:after="0"/>
    </w:pPr>
  </w:style>
  <w:style w:type="paragraph" w:customStyle="1" w:styleId="BodyTextBold">
    <w:name w:val="Body Text Bold"/>
    <w:basedOn w:val="BodyText"/>
    <w:qFormat/>
    <w:rsid w:val="00D37750"/>
    <w:rPr>
      <w:b/>
    </w:rPr>
  </w:style>
  <w:style w:type="character" w:styleId="Hyperlink">
    <w:name w:val="Hyperlink"/>
    <w:basedOn w:val="DefaultParagraphFont"/>
    <w:uiPriority w:val="99"/>
    <w:unhideWhenUsed/>
    <w:rsid w:val="00E95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3542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MEM09003 Prepare basic engineering drawing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