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6C0" w:rsidP="00294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MEM09002 Interpret technical drawing</w:t>
      </w:r>
      <w:r>
        <w:fldChar w:fldCharType="end"/>
      </w:r>
    </w:p>
    <w:p w:rsidR="002946C0" w:rsidP="002946C0">
      <w:pPr>
        <w:pStyle w:val="Version"/>
        <w:sectPr w:rsidSect="00613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F35" w:rsidP="00613F35">
      <w:pPr>
        <w:pStyle w:val="SuperHeading"/>
      </w:pPr>
      <w:r w:rsidRPr="00613F35">
        <w:t>Assessment Requirements for MEM09002 Interpret technical drawing</w:t>
      </w:r>
    </w:p>
    <w:p w:rsidR="00000000" w:rsidRPr="00613F35" w:rsidP="00613F35">
      <w:pPr>
        <w:pStyle w:val="Heading1"/>
      </w:pPr>
      <w:bookmarkStart w:id="1" w:name="O_959773"/>
      <w:bookmarkEnd w:id="1"/>
      <w:r w:rsidRPr="00613F35">
        <w:t>Modification History</w:t>
      </w:r>
    </w:p>
    <w:p w:rsidR="00000000" w:rsidRPr="00613F35" w:rsidP="002946C0">
      <w:pPr>
        <w:pStyle w:val="BodyText"/>
      </w:pPr>
      <w:r w:rsidRPr="00613F35">
        <w:t xml:space="preserve">Release 1. Supersedes and is equivalent to MEM09002B Interpret technical drawing </w:t>
      </w:r>
    </w:p>
    <w:p w:rsidR="00000000" w:rsidRPr="00613F35" w:rsidP="00613F35">
      <w:pPr>
        <w:pStyle w:val="Heading1"/>
      </w:pPr>
      <w:bookmarkStart w:id="2" w:name="O_959776"/>
      <w:bookmarkEnd w:id="2"/>
      <w:r w:rsidRPr="00613F35">
        <w:t>Performance Evidence</w:t>
      </w:r>
    </w:p>
    <w:p w:rsidR="00000000" w:rsidRPr="00613F35" w:rsidP="002946C0">
      <w:pPr>
        <w:pStyle w:val="BodyText"/>
      </w:pPr>
      <w:r w:rsidRPr="00613F35">
        <w:t>Evidence required to demonstrate competence in this unit must be relevant to and satisfy the requirements of the elements and performance criteria on at least two (2) occasions and include:</w:t>
      </w:r>
    </w:p>
    <w:p w:rsidR="00000000" w:rsidRPr="00613F35" w:rsidP="00613F35">
      <w:pPr>
        <w:pStyle w:val="ListBullet"/>
      </w:pPr>
      <w:r w:rsidRPr="00613F35">
        <w:t>following work instructions, standard operating procedures (SOPs)</w:t>
      </w:r>
      <w:r w:rsidRPr="00613F35">
        <w:t xml:space="preserve"> and safe work practices</w:t>
      </w:r>
    </w:p>
    <w:p w:rsidR="00000000" w:rsidRPr="00613F35" w:rsidP="00613F35">
      <w:pPr>
        <w:pStyle w:val="ListBullet"/>
      </w:pPr>
      <w:r w:rsidRPr="00613F35">
        <w:t>selecting, checking and validating technical drawing against job requirements or equipment</w:t>
      </w:r>
    </w:p>
    <w:p w:rsidR="00000000" w:rsidRPr="00613F35" w:rsidP="00613F35">
      <w:pPr>
        <w:pStyle w:val="ListBullet"/>
      </w:pPr>
      <w:r w:rsidRPr="00613F35">
        <w:t>interpreting technical drawing through recognition of components, assemblies, objects and symbols</w:t>
      </w:r>
    </w:p>
    <w:p w:rsidR="00000000" w:rsidRPr="00613F35" w:rsidP="00613F35">
      <w:pPr>
        <w:pStyle w:val="ListBullet"/>
      </w:pPr>
      <w:r w:rsidRPr="00613F35">
        <w:t xml:space="preserve">identifying dimensions </w:t>
      </w:r>
    </w:p>
    <w:p w:rsidR="00000000" w:rsidRPr="00613F35" w:rsidP="00613F35">
      <w:pPr>
        <w:pStyle w:val="ListBullet"/>
      </w:pPr>
      <w:r w:rsidRPr="00613F35">
        <w:t>applying drawing c</w:t>
      </w:r>
      <w:r w:rsidRPr="00613F35">
        <w:t>onventions appropriate to engineering discipline</w:t>
      </w:r>
    </w:p>
    <w:p w:rsidR="00000000" w:rsidRPr="00613F35" w:rsidP="00613F35">
      <w:pPr>
        <w:pStyle w:val="ListBullet"/>
      </w:pPr>
      <w:r w:rsidRPr="00613F35">
        <w:t>compiling a materials list.</w:t>
      </w:r>
    </w:p>
    <w:p w:rsidR="00000000" w:rsidRPr="00613F35" w:rsidP="00613F35">
      <w:pPr>
        <w:pStyle w:val="AllowPageBreak"/>
      </w:pPr>
    </w:p>
    <w:p w:rsidR="00000000" w:rsidRPr="00613F35" w:rsidP="00613F35">
      <w:pPr>
        <w:pStyle w:val="Heading1"/>
      </w:pPr>
      <w:bookmarkStart w:id="3" w:name="O_959775"/>
      <w:bookmarkEnd w:id="3"/>
      <w:r w:rsidRPr="00613F35">
        <w:t>Knowledge Evidence</w:t>
      </w:r>
    </w:p>
    <w:p w:rsidR="00000000" w:rsidRPr="00613F35" w:rsidP="002946C0">
      <w:pPr>
        <w:pStyle w:val="BodyText"/>
      </w:pPr>
      <w:r w:rsidRPr="00613F35">
        <w:t>Evidence required to demonstrate the required knowledge for this unit must be relevant to and satisfy the requirements of the elements and perf</w:t>
      </w:r>
      <w:r w:rsidRPr="00613F35">
        <w:t>ormance criteria and include knowledge of:</w:t>
      </w:r>
    </w:p>
    <w:p w:rsidR="00000000" w:rsidRPr="00613F35" w:rsidP="00613F35">
      <w:pPr>
        <w:pStyle w:val="ListBullet"/>
      </w:pPr>
      <w:r w:rsidRPr="00613F35">
        <w:t>safe work practices and procedures and use of personal protective equipment (PPE)</w:t>
      </w:r>
    </w:p>
    <w:p w:rsidR="00000000" w:rsidRPr="00613F35" w:rsidP="00613F35">
      <w:pPr>
        <w:pStyle w:val="ListBullet"/>
      </w:pPr>
      <w:r w:rsidRPr="00613F35">
        <w:t>application of AS 1100 Technical drawing or AS 1102 Graphical symbols</w:t>
      </w:r>
    </w:p>
    <w:p w:rsidR="00000000" w:rsidRPr="00613F35" w:rsidP="00613F35">
      <w:pPr>
        <w:pStyle w:val="ListBullet"/>
      </w:pPr>
      <w:r w:rsidRPr="00613F35">
        <w:t xml:space="preserve">conventions used in technical drawings </w:t>
      </w:r>
    </w:p>
    <w:p w:rsidR="00000000" w:rsidRPr="00613F35" w:rsidP="00613F35">
      <w:pPr>
        <w:pStyle w:val="ListBullet"/>
      </w:pPr>
      <w:r w:rsidRPr="00613F35">
        <w:t>correct interpretati</w:t>
      </w:r>
      <w:r w:rsidRPr="00613F35">
        <w:t xml:space="preserve">on of instructions contained in drawings </w:t>
      </w:r>
    </w:p>
    <w:p w:rsidR="00000000" w:rsidRPr="00613F35" w:rsidP="00613F35">
      <w:pPr>
        <w:pStyle w:val="ListBullet"/>
      </w:pPr>
      <w:r w:rsidRPr="00613F35">
        <w:t>materials from which drawing object(s) are made and their features and manufacturing and assembly requirements.</w:t>
      </w:r>
    </w:p>
    <w:p w:rsidR="00000000" w:rsidRPr="00613F35" w:rsidP="00613F35">
      <w:pPr>
        <w:pStyle w:val="AllowPageBreak"/>
      </w:pPr>
    </w:p>
    <w:p w:rsidR="00000000" w:rsidRPr="00613F35" w:rsidP="00613F35">
      <w:pPr>
        <w:pStyle w:val="Heading1"/>
      </w:pPr>
      <w:bookmarkStart w:id="4" w:name="O_959774"/>
      <w:bookmarkEnd w:id="4"/>
      <w:r w:rsidRPr="00613F35">
        <w:t>Assessment Conditions</w:t>
      </w:r>
    </w:p>
    <w:p w:rsidR="00000000" w:rsidRPr="00613F35" w:rsidP="00613F35">
      <w:pPr>
        <w:pStyle w:val="ListBullet"/>
      </w:pPr>
      <w:r w:rsidRPr="00613F35">
        <w:t>Assessors must:</w:t>
      </w:r>
    </w:p>
    <w:p w:rsidR="00000000" w:rsidRPr="00613F35" w:rsidP="00613F35">
      <w:pPr>
        <w:pStyle w:val="ListBullet2"/>
      </w:pPr>
      <w:r w:rsidRPr="00613F35">
        <w:t>have vocational competency in interpreting technical drawings at least to the level being assessed with relevant industry knowledge and experience</w:t>
      </w:r>
    </w:p>
    <w:p w:rsidR="00000000" w:rsidRPr="00613F35" w:rsidP="00613F35">
      <w:pPr>
        <w:pStyle w:val="ListBullet2"/>
      </w:pPr>
      <w:r w:rsidRPr="00613F35">
        <w:t xml:space="preserve">satisfy the assessor requirements in the </w:t>
      </w:r>
      <w:r w:rsidRPr="00613F35">
        <w:rPr>
          <w:rStyle w:val="Emphasis"/>
        </w:rPr>
        <w:t xml:space="preserve">Standards for Registered Training Organisations 2015 </w:t>
      </w:r>
      <w:r w:rsidRPr="00613F35">
        <w:t>or its replacem</w:t>
      </w:r>
      <w:r w:rsidRPr="00613F35">
        <w:t>ent</w:t>
      </w:r>
      <w:r w:rsidRPr="00613F35">
        <w:rPr>
          <w:rStyle w:val="Emphasis"/>
        </w:rPr>
        <w:t xml:space="preserve"> </w:t>
      </w:r>
      <w:r w:rsidRPr="00613F35">
        <w:t xml:space="preserve">and comply with the </w:t>
      </w:r>
      <w:r w:rsidRPr="00613F35">
        <w:rPr>
          <w:rStyle w:val="Emphasis"/>
        </w:rPr>
        <w:t xml:space="preserve">National Vocational Education and Training Regulator Act 2011, </w:t>
      </w:r>
      <w:r w:rsidRPr="00613F35">
        <w:t>its replacement</w:t>
      </w:r>
      <w:r w:rsidRPr="00613F35">
        <w:rPr>
          <w:rStyle w:val="Emphasis"/>
        </w:rPr>
        <w:t xml:space="preserve"> </w:t>
      </w:r>
      <w:r w:rsidRPr="00613F35">
        <w:t>or equivalent legislation covering VET regulation in a non-referring state/territory as the case requires</w:t>
      </w:r>
    </w:p>
    <w:p w:rsidR="00000000" w:rsidRPr="00613F35" w:rsidP="00613F35">
      <w:pPr>
        <w:pStyle w:val="ListBullet"/>
      </w:pPr>
      <w:r w:rsidRPr="00613F35">
        <w:t>Where possible assessment must occur in operat</w:t>
      </w:r>
      <w:r w:rsidRPr="00613F35">
        <w:t>ional workplace situations. Where this is not possible or where personal safety or environmental damage are limiting factors, assessment must occur in a sufficiently rigorous simulated environment that reflects realistic operational workplace conditions. T</w:t>
      </w:r>
      <w:r w:rsidRPr="00613F35">
        <w:t>his must cover all aspects of workplace performance, including environment, task skills, task management skills, contingency management skills and job role environment skills</w:t>
      </w:r>
    </w:p>
    <w:p w:rsidR="00000000" w:rsidRPr="00613F35" w:rsidP="00613F35">
      <w:pPr>
        <w:pStyle w:val="ListBullet"/>
      </w:pPr>
      <w:r w:rsidRPr="00613F35">
        <w:t xml:space="preserve">Conditions for assessment must include access to all tools, equipment, materials </w:t>
      </w:r>
      <w:r w:rsidRPr="00613F35">
        <w:t>and documentation required, including relevant workplace procedures, product and manufacturing specifications</w:t>
      </w:r>
    </w:p>
    <w:p w:rsidR="00000000" w:rsidRPr="00613F35" w:rsidP="00613F35">
      <w:pPr>
        <w:pStyle w:val="ListBullet"/>
      </w:pPr>
      <w:r w:rsidRPr="00613F35">
        <w:t>Assessment processes and techniques must be appropriate to the language, literacy and numeracy requirements of the work being performed and the ne</w:t>
      </w:r>
      <w:r w:rsidRPr="00613F35">
        <w:t>eds of the candidate.</w:t>
      </w:r>
    </w:p>
    <w:p w:rsidR="00000000" w:rsidRPr="00613F35" w:rsidP="00613F35">
      <w:pPr>
        <w:pStyle w:val="AllowPageBreak"/>
      </w:pPr>
    </w:p>
    <w:p w:rsidR="00000000" w:rsidRPr="00613F35" w:rsidP="00613F35">
      <w:pPr>
        <w:pStyle w:val="Heading1"/>
      </w:pPr>
      <w:bookmarkStart w:id="5" w:name="O_959772"/>
      <w:bookmarkEnd w:id="5"/>
      <w:r w:rsidRPr="00613F35">
        <w:t>Links</w:t>
      </w:r>
    </w:p>
    <w:p w:rsidR="00000000" w:rsidRPr="00613F35" w:rsidP="002946C0">
      <w:pPr>
        <w:pStyle w:val="BodyText"/>
      </w:pPr>
      <w:r w:rsidRPr="00613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5D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13F35" w:rsidP="00613F35"/>
    <w:sectPr w:rsidSect="00613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5" w:rsidRPr="002946C0" w:rsidP="00294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0" w:rsidP="00613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46C0" w:rsidP="00613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46C0" w:rsidP="00613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F35" w:rsidRPr="002946C0" w:rsidP="00294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0" w:rsidRPr="002D2AF8" w:rsidP="00613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MEM09002 Interpret technical drawing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946C0" w:rsidP="00613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CCD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24B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C7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F35"/>
  </w:style>
  <w:style w:type="character" w:customStyle="1" w:styleId="Heading1Char">
    <w:name w:val="Heading 1 Char"/>
    <w:basedOn w:val="DefaultParagraphFont"/>
    <w:link w:val="Heading1"/>
    <w:rsid w:val="00613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F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F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F35"/>
    <w:rPr>
      <w:i/>
    </w:rPr>
  </w:style>
  <w:style w:type="paragraph" w:customStyle="1" w:styleId="SuperHeading">
    <w:name w:val="SuperHeading"/>
    <w:basedOn w:val="Normal"/>
    <w:rsid w:val="00613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F35"/>
    <w:rPr>
      <w:b/>
      <w:spacing w:val="0"/>
    </w:rPr>
  </w:style>
  <w:style w:type="paragraph" w:customStyle="1" w:styleId="SuperTitle">
    <w:name w:val="SuperTitle"/>
    <w:basedOn w:val="Title"/>
    <w:rsid w:val="00613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F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F35"/>
  </w:style>
  <w:style w:type="paragraph" w:styleId="TableofFigures">
    <w:name w:val="table of figures"/>
    <w:basedOn w:val="Normal"/>
    <w:next w:val="Normal"/>
    <w:semiHidden/>
    <w:rsid w:val="00613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F35"/>
    <w:rPr>
      <w:rFonts w:ascii="Wingdings" w:hAnsi="Wingdings"/>
    </w:rPr>
  </w:style>
  <w:style w:type="paragraph" w:customStyle="1" w:styleId="TableHeading">
    <w:name w:val="Table Heading"/>
    <w:basedOn w:val="HeadingBase"/>
    <w:rsid w:val="00613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F35"/>
    <w:rPr>
      <w:color w:val="0033CC"/>
      <w:u w:val="none"/>
    </w:rPr>
  </w:style>
  <w:style w:type="paragraph" w:customStyle="1" w:styleId="BodyTextRight">
    <w:name w:val="Body Text Right"/>
    <w:basedOn w:val="BodyText"/>
    <w:rsid w:val="00613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F35"/>
    <w:rPr>
      <w:sz w:val="32"/>
    </w:rPr>
  </w:style>
  <w:style w:type="paragraph" w:customStyle="1" w:styleId="HeadingProcedure">
    <w:name w:val="Heading Procedure"/>
    <w:basedOn w:val="HeadingBase"/>
    <w:next w:val="Normal"/>
    <w:rsid w:val="00613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F35"/>
    <w:pPr>
      <w:spacing w:before="60" w:after="60"/>
    </w:pPr>
  </w:style>
  <w:style w:type="paragraph" w:styleId="ListContinue">
    <w:name w:val="List Continue"/>
    <w:basedOn w:val="List"/>
    <w:rsid w:val="00613F35"/>
    <w:pPr>
      <w:ind w:firstLine="0"/>
    </w:pPr>
  </w:style>
  <w:style w:type="paragraph" w:customStyle="1" w:styleId="ListNote">
    <w:name w:val="List Note"/>
    <w:basedOn w:val="List"/>
    <w:rsid w:val="00613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F35"/>
    <w:rPr>
      <w:rFonts w:ascii="Courier New" w:hAnsi="Courier New"/>
    </w:rPr>
  </w:style>
  <w:style w:type="paragraph" w:customStyle="1" w:styleId="NoteBullet">
    <w:name w:val="Note Bullet"/>
    <w:basedOn w:val="Note"/>
    <w:rsid w:val="00613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F35"/>
    <w:rPr>
      <w:b/>
      <w:smallCaps/>
    </w:rPr>
  </w:style>
  <w:style w:type="paragraph" w:customStyle="1" w:styleId="TableListNumber">
    <w:name w:val="Table List Number"/>
    <w:basedOn w:val="ListNumber"/>
    <w:rsid w:val="00613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F35"/>
    <w:pPr>
      <w:numPr>
        <w:numId w:val="9"/>
      </w:numPr>
    </w:pPr>
  </w:style>
  <w:style w:type="paragraph" w:customStyle="1" w:styleId="ListAlpha2">
    <w:name w:val="List Alpha 2"/>
    <w:basedOn w:val="List2"/>
    <w:rsid w:val="00613F35"/>
    <w:pPr>
      <w:numPr>
        <w:numId w:val="8"/>
      </w:numPr>
    </w:pPr>
  </w:style>
  <w:style w:type="paragraph" w:styleId="List2">
    <w:name w:val="List 2"/>
    <w:basedOn w:val="BodyText"/>
    <w:rsid w:val="00613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F35"/>
    <w:pPr>
      <w:numPr>
        <w:numId w:val="4"/>
      </w:numPr>
    </w:pPr>
  </w:style>
  <w:style w:type="paragraph" w:styleId="ListContinue2">
    <w:name w:val="List Continue 2"/>
    <w:basedOn w:val="List2"/>
    <w:rsid w:val="00613F35"/>
    <w:pPr>
      <w:ind w:firstLine="0"/>
    </w:pPr>
  </w:style>
  <w:style w:type="paragraph" w:styleId="ListContinue3">
    <w:name w:val="List Continue 3"/>
    <w:basedOn w:val="List3"/>
    <w:rsid w:val="00613F35"/>
    <w:pPr>
      <w:ind w:left="1021" w:firstLine="0"/>
    </w:pPr>
  </w:style>
  <w:style w:type="paragraph" w:styleId="ListContinue4">
    <w:name w:val="List Continue 4"/>
    <w:basedOn w:val="List4"/>
    <w:rsid w:val="00613F35"/>
    <w:pPr>
      <w:ind w:firstLine="0"/>
    </w:pPr>
  </w:style>
  <w:style w:type="paragraph" w:styleId="ListContinue5">
    <w:name w:val="List Continue 5"/>
    <w:basedOn w:val="List5"/>
    <w:rsid w:val="00613F35"/>
    <w:pPr>
      <w:ind w:firstLine="0"/>
    </w:pPr>
  </w:style>
  <w:style w:type="paragraph" w:styleId="ListNumber3">
    <w:name w:val="List Number 3"/>
    <w:basedOn w:val="List3"/>
    <w:rsid w:val="00613F35"/>
    <w:pPr>
      <w:numPr>
        <w:numId w:val="5"/>
      </w:numPr>
    </w:pPr>
  </w:style>
  <w:style w:type="paragraph" w:styleId="ListNumber4">
    <w:name w:val="List Number 4"/>
    <w:basedOn w:val="List4"/>
    <w:rsid w:val="00613F35"/>
    <w:pPr>
      <w:numPr>
        <w:numId w:val="6"/>
      </w:numPr>
    </w:pPr>
  </w:style>
  <w:style w:type="paragraph" w:styleId="ListNumber5">
    <w:name w:val="List Number 5"/>
    <w:basedOn w:val="List5"/>
    <w:rsid w:val="00613F35"/>
    <w:pPr>
      <w:numPr>
        <w:numId w:val="7"/>
      </w:numPr>
    </w:pPr>
  </w:style>
  <w:style w:type="paragraph" w:styleId="BlockText">
    <w:name w:val="Block Text"/>
    <w:basedOn w:val="Normal"/>
    <w:rsid w:val="00613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F35"/>
    <w:rPr>
      <w:sz w:val="16"/>
      <w:vertAlign w:val="superscript"/>
    </w:rPr>
  </w:style>
  <w:style w:type="character" w:customStyle="1" w:styleId="Symbols">
    <w:name w:val="Symbols"/>
    <w:basedOn w:val="DefaultParagraphFont"/>
    <w:rsid w:val="00613F35"/>
    <w:rPr>
      <w:rFonts w:ascii="Symbol" w:hAnsi="Symbol"/>
    </w:rPr>
  </w:style>
  <w:style w:type="character" w:customStyle="1" w:styleId="MenuOptions">
    <w:name w:val="Menu Options"/>
    <w:basedOn w:val="DefaultParagraphFont"/>
    <w:rsid w:val="00613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F35"/>
    <w:rPr>
      <w:b/>
    </w:rPr>
  </w:style>
  <w:style w:type="character" w:customStyle="1" w:styleId="Underlined">
    <w:name w:val="Underlined"/>
    <w:basedOn w:val="DefaultParagraphFont"/>
    <w:rsid w:val="00613F35"/>
    <w:rPr>
      <w:u w:val="single"/>
    </w:rPr>
  </w:style>
  <w:style w:type="paragraph" w:customStyle="1" w:styleId="TableBodyTextRight">
    <w:name w:val="Table Body Text Right"/>
    <w:basedOn w:val="TableBodyText"/>
    <w:rsid w:val="00613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F35"/>
    <w:rPr>
      <w:sz w:val="18"/>
    </w:rPr>
  </w:style>
  <w:style w:type="paragraph" w:customStyle="1" w:styleId="BodySmallRight">
    <w:name w:val="Body Small Right"/>
    <w:basedOn w:val="BodyTextRight"/>
    <w:rsid w:val="00613F35"/>
    <w:rPr>
      <w:sz w:val="18"/>
      <w:szCs w:val="18"/>
    </w:rPr>
  </w:style>
  <w:style w:type="paragraph" w:customStyle="1" w:styleId="MarginEdition">
    <w:name w:val="Margin Edition"/>
    <w:basedOn w:val="MarginNote"/>
    <w:rsid w:val="00613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F35"/>
    <w:rPr>
      <w:sz w:val="2"/>
      <w:szCs w:val="2"/>
    </w:rPr>
  </w:style>
  <w:style w:type="character" w:customStyle="1" w:styleId="Small">
    <w:name w:val="Small"/>
    <w:basedOn w:val="DefaultParagraphFont"/>
    <w:rsid w:val="00613F35"/>
    <w:rPr>
      <w:sz w:val="16"/>
    </w:rPr>
  </w:style>
  <w:style w:type="paragraph" w:customStyle="1" w:styleId="WideTable">
    <w:name w:val="Wide Table"/>
    <w:basedOn w:val="Normal"/>
    <w:rsid w:val="00613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F35"/>
  </w:style>
  <w:style w:type="paragraph" w:styleId="Quote">
    <w:name w:val="Quote"/>
    <w:basedOn w:val="Heading1"/>
    <w:link w:val="QuoteChar"/>
    <w:qFormat/>
    <w:rsid w:val="00613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F35"/>
    <w:pPr>
      <w:pageBreakBefore/>
    </w:pPr>
  </w:style>
  <w:style w:type="paragraph" w:customStyle="1" w:styleId="Border">
    <w:name w:val="Border"/>
    <w:basedOn w:val="Normal"/>
    <w:qFormat/>
    <w:rsid w:val="00613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F35"/>
    <w:rPr>
      <w:u w:val="single"/>
    </w:rPr>
  </w:style>
  <w:style w:type="character" w:customStyle="1" w:styleId="BoldandItalics">
    <w:name w:val="Bold and Italics"/>
    <w:qFormat/>
    <w:rsid w:val="00613F35"/>
    <w:rPr>
      <w:b/>
      <w:i/>
      <w:u w:val="none"/>
    </w:rPr>
  </w:style>
  <w:style w:type="paragraph" w:styleId="BalloonText">
    <w:name w:val="Balloon Text"/>
    <w:basedOn w:val="Normal"/>
    <w:link w:val="BalloonTextChar"/>
    <w:rsid w:val="00613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F35"/>
    <w:pPr>
      <w:spacing w:before="0" w:after="0"/>
    </w:pPr>
  </w:style>
  <w:style w:type="paragraph" w:customStyle="1" w:styleId="BodyTextBold">
    <w:name w:val="Body Text Bold"/>
    <w:basedOn w:val="BodyText"/>
    <w:qFormat/>
    <w:rsid w:val="00613F35"/>
    <w:rPr>
      <w:b/>
    </w:rPr>
  </w:style>
  <w:style w:type="character" w:styleId="Hyperlink">
    <w:name w:val="Hyperlink"/>
    <w:basedOn w:val="DefaultParagraphFont"/>
    <w:uiPriority w:val="99"/>
    <w:unhideWhenUsed/>
    <w:rsid w:val="00294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2694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MEM09002 Interpret technical drawing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2024-09-27T00:17:00Z</dcterms:created>
  <dcterms:modified xsi:type="dcterms:W3CDTF">2024-09-27T00:17:00Z</dcterms:modified>
</cp:coreProperties>
</file>