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A59" w:rsidP="004D5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MEM08020 Electroplate decorative finishes</w:t>
      </w:r>
      <w:r>
        <w:fldChar w:fldCharType="end"/>
      </w:r>
    </w:p>
    <w:p w:rsidR="004D5A59" w:rsidP="004D5A59">
      <w:pPr>
        <w:pStyle w:val="Version"/>
        <w:sectPr w:rsidSect="007C0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E87" w:rsidP="007C0E87">
      <w:pPr>
        <w:pStyle w:val="SuperHeading"/>
      </w:pPr>
      <w:r w:rsidRPr="007C0E87">
        <w:t>MEM08020 Electroplate decorative finishes</w:t>
      </w:r>
    </w:p>
    <w:p w:rsidR="00000000" w:rsidRPr="007C0E87" w:rsidP="007C0E87">
      <w:pPr>
        <w:pStyle w:val="Heading1"/>
      </w:pPr>
      <w:bookmarkStart w:id="1" w:name="O_948254"/>
      <w:bookmarkEnd w:id="1"/>
      <w:r w:rsidRPr="007C0E87">
        <w:t>Modification History</w:t>
      </w:r>
    </w:p>
    <w:p w:rsidR="00000000" w:rsidRPr="007C0E87" w:rsidP="004D5A59">
      <w:pPr>
        <w:pStyle w:val="BodyText"/>
      </w:pPr>
      <w:r w:rsidRPr="007C0E87">
        <w:t>Release 1. Supersedes and is equivalent to MEM08020B Electroplate decorative finishes</w:t>
      </w:r>
    </w:p>
    <w:p w:rsidR="00000000" w:rsidRPr="007C0E87" w:rsidP="007C0E87">
      <w:pPr>
        <w:pStyle w:val="Heading1"/>
      </w:pPr>
      <w:bookmarkStart w:id="2" w:name="O_948262"/>
      <w:bookmarkEnd w:id="2"/>
      <w:r w:rsidRPr="007C0E87">
        <w:t>Application</w:t>
      </w:r>
    </w:p>
    <w:p w:rsidR="00000000" w:rsidRPr="007C0E87" w:rsidP="004D5A59">
      <w:pPr>
        <w:pStyle w:val="BodyText"/>
      </w:pPr>
      <w:r w:rsidRPr="007C0E87">
        <w:t>This unit of competency defines the skills and knowledge required to apply decorative finishes to household fittings, ha</w:t>
      </w:r>
      <w:r w:rsidRPr="007C0E87">
        <w:t>rdware, artefacts and accessories made from a range of ferrous and non-ferrous materials.</w:t>
      </w:r>
    </w:p>
    <w:p w:rsidR="00000000" w:rsidRPr="007C0E87" w:rsidP="004D5A59">
      <w:pPr>
        <w:pStyle w:val="BodyText"/>
      </w:pPr>
      <w:r w:rsidRPr="007C0E87">
        <w:t xml:space="preserve">It includes pre-treatment, use of plating techniques, solutions and compositions for decorative finishes, recognition and assessment of impurities and imperfections </w:t>
      </w:r>
      <w:r w:rsidRPr="007C0E87">
        <w:t xml:space="preserve">and associated corrective actions. </w:t>
      </w:r>
    </w:p>
    <w:p w:rsidR="00000000" w:rsidRPr="007C0E87" w:rsidP="004D5A59">
      <w:pPr>
        <w:pStyle w:val="BodyText"/>
      </w:pPr>
      <w:r w:rsidRPr="007C0E87">
        <w:t xml:space="preserve">Processing may be manual, semi or fully automatic still or barrel plating environments and may include volume production and </w:t>
      </w:r>
      <w:r>
        <w:t>‘</w:t>
      </w:r>
      <w:r w:rsidRPr="007C0E87">
        <w:t>one-off</w:t>
      </w:r>
      <w:r>
        <w:t>’</w:t>
      </w:r>
      <w:r w:rsidRPr="007C0E87">
        <w:t xml:space="preserve"> components.</w:t>
      </w:r>
    </w:p>
    <w:p w:rsidR="00000000" w:rsidRPr="007C0E87" w:rsidP="004D5A59">
      <w:pPr>
        <w:pStyle w:val="BodyText"/>
      </w:pPr>
      <w:r w:rsidRPr="007C0E87">
        <w:t xml:space="preserve">Where straightforward operation/monitoring of electroplating processes </w:t>
      </w:r>
      <w:r w:rsidRPr="007C0E87">
        <w:t>are required unit MEM08003 Perform electroplating operations should be selected.</w:t>
      </w:r>
    </w:p>
    <w:p w:rsidR="00000000" w:rsidRPr="007C0E87" w:rsidP="004D5A59">
      <w:pPr>
        <w:pStyle w:val="BodyText"/>
      </w:pPr>
      <w:r w:rsidRPr="007C0E87">
        <w:t>Where surface preparation operations are required unit MEM08011 Prepare surfaces using solvents and/or mechanical means and unit MEM08012 Prepare surfaces by abrasive blastin</w:t>
      </w:r>
      <w:r w:rsidRPr="007C0E87">
        <w:t>g (basic), should also be selected as appropriate.</w:t>
      </w:r>
    </w:p>
    <w:p w:rsidR="00000000" w:rsidRPr="007C0E87" w:rsidP="004D5A59">
      <w:pPr>
        <w:pStyle w:val="BodyText"/>
      </w:pPr>
      <w:r w:rsidRPr="007C0E87">
        <w:t>Where the interpretation of technical drawings is required unit MEM09002 Interpret technical drawing should also be selected.</w:t>
      </w:r>
    </w:p>
    <w:p w:rsidR="00000000" w:rsidRPr="007C0E87" w:rsidP="004D5A59">
      <w:pPr>
        <w:pStyle w:val="BodyText"/>
      </w:pPr>
      <w:r w:rsidRPr="007C0E87">
        <w:t>Where the selection and use of engineering measurement is required unit MEM12</w:t>
      </w:r>
      <w:r w:rsidRPr="007C0E87">
        <w:t>023 Perform engineering measurements should also be selected.</w:t>
      </w:r>
    </w:p>
    <w:p w:rsidR="00000000" w:rsidRPr="007C0E87" w:rsidP="004D5A59">
      <w:pPr>
        <w:pStyle w:val="BodyText"/>
      </w:pPr>
      <w:r w:rsidRPr="007C0E87">
        <w:t>Where basic inspection of completed or partly completed products produced by others is required unit MEM15004 Perform inspection should also be selected.</w:t>
      </w:r>
    </w:p>
    <w:p w:rsidR="00000000" w:rsidRPr="007C0E87" w:rsidP="004D5A59">
      <w:pPr>
        <w:pStyle w:val="BodyText"/>
      </w:pPr>
      <w:r w:rsidRPr="007C0E87">
        <w:t>Where the selection and use of power t</w:t>
      </w:r>
      <w:r w:rsidRPr="007C0E87">
        <w:t>ools/hand held operations is required unit MEM18002 Use power tools/hand held operations should also be selected.</w:t>
      </w:r>
    </w:p>
    <w:p w:rsidR="00000000" w:rsidRPr="007C0E87" w:rsidP="004D5A59">
      <w:pPr>
        <w:pStyle w:val="BodyText"/>
      </w:pPr>
      <w:r w:rsidRPr="007C0E87">
        <w:t>Where construction of anodes, shields/robbers is required appropriate fabrication units should also be selected.</w:t>
      </w:r>
    </w:p>
    <w:p w:rsidR="00000000" w:rsidRPr="007C0E87" w:rsidP="004D5A59">
      <w:pPr>
        <w:pStyle w:val="BodyText"/>
      </w:pPr>
      <w:r w:rsidRPr="007C0E87">
        <w:t>Where dogging/lifting is re</w:t>
      </w:r>
      <w:r w:rsidRPr="007C0E87">
        <w:t>quired appropriate materials handling units to suit regulatory requirements should also be selected.</w:t>
      </w:r>
    </w:p>
    <w:p w:rsidR="00000000" w:rsidRPr="007C0E87" w:rsidP="004D5A59">
      <w:pPr>
        <w:pStyle w:val="BodyText"/>
      </w:pPr>
      <w:r w:rsidRPr="007C0E87">
        <w:t xml:space="preserve">No licensing, legislative or certification requirements apply to this unit at the time of publication.  </w:t>
      </w:r>
    </w:p>
    <w:p w:rsidR="00000000" w:rsidRPr="007C0E87" w:rsidP="007C0E87">
      <w:pPr>
        <w:pStyle w:val="BodyText"/>
      </w:pPr>
      <w:r w:rsidRPr="007C0E87">
        <w:rPr>
          <w:rStyle w:val="SpecialBold"/>
        </w:rPr>
        <w:t>Band:</w:t>
      </w:r>
      <w:r w:rsidRPr="007C0E87">
        <w:rPr>
          <w:rStyle w:val="SpecialBold"/>
        </w:rPr>
        <w:tab/>
        <w:t>A</w:t>
      </w:r>
    </w:p>
    <w:p w:rsidR="00000000" w:rsidRPr="007C0E87" w:rsidP="007C0E87">
      <w:pPr>
        <w:pStyle w:val="BodyText"/>
      </w:pPr>
      <w:r w:rsidRPr="007C0E87">
        <w:rPr>
          <w:rStyle w:val="SpecialBold"/>
        </w:rPr>
        <w:t>Unit Weight:</w:t>
      </w:r>
      <w:r w:rsidRPr="007C0E87">
        <w:rPr>
          <w:rStyle w:val="SpecialBold"/>
        </w:rPr>
        <w:tab/>
        <w:t>6</w:t>
      </w:r>
    </w:p>
    <w:p w:rsidR="00000000" w:rsidRPr="007C0E87" w:rsidP="007C0E87">
      <w:pPr>
        <w:pStyle w:val="AllowPageBreak"/>
      </w:pPr>
    </w:p>
    <w:p w:rsidR="00000000" w:rsidRPr="007C0E87" w:rsidP="007C0E87">
      <w:pPr>
        <w:pStyle w:val="Heading1"/>
      </w:pPr>
      <w:bookmarkStart w:id="3" w:name="O_948261"/>
      <w:bookmarkEnd w:id="3"/>
      <w:r w:rsidRPr="007C0E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Perform operational maintenance of machines/equipment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Perform wire, jig and barrel load/unload work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MEM08003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Perform electroplating operations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Undertake manual handling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 xml:space="preserve">Work safely with industrial </w:t>
            </w:r>
            <w:r w:rsidRPr="007C0E87">
              <w:t>chemicals and materials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Work safely and effectively in manufacturing and engineering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Organise and communicate information</w:t>
            </w:r>
          </w:p>
        </w:tc>
      </w:tr>
      <w:tr w:rsidTr="007C0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Use hand tools</w:t>
            </w:r>
          </w:p>
        </w:tc>
      </w:tr>
    </w:tbl>
    <w:p w:rsidR="00000000" w:rsidRPr="007C0E87" w:rsidP="007C0E87">
      <w:pPr>
        <w:pStyle w:val="BodyText"/>
      </w:pPr>
    </w:p>
    <w:p w:rsidR="00000000" w:rsidRPr="007C0E87" w:rsidP="007C0E87">
      <w:pPr>
        <w:pStyle w:val="AllowPageBreak"/>
      </w:pPr>
    </w:p>
    <w:p w:rsidR="00000000" w:rsidRPr="007C0E87" w:rsidP="007C0E87">
      <w:pPr>
        <w:pStyle w:val="Heading1"/>
      </w:pPr>
      <w:bookmarkStart w:id="4" w:name="O_948260"/>
      <w:bookmarkEnd w:id="4"/>
      <w:r w:rsidRPr="007C0E87">
        <w:t>Competency Field</w:t>
      </w:r>
    </w:p>
    <w:p w:rsidR="00000000" w:rsidRPr="007C0E87" w:rsidP="004D5A59">
      <w:pPr>
        <w:pStyle w:val="BodyText"/>
      </w:pPr>
      <w:r w:rsidRPr="007C0E87">
        <w:t>Surface finishing</w:t>
      </w:r>
    </w:p>
    <w:p w:rsidR="00000000" w:rsidRPr="007C0E87" w:rsidP="007C0E87">
      <w:pPr>
        <w:pStyle w:val="Heading1"/>
      </w:pPr>
      <w:bookmarkStart w:id="5" w:name="O_948258"/>
      <w:bookmarkEnd w:id="5"/>
      <w:r w:rsidRPr="007C0E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2014"/>
        <w:gridCol w:w="720"/>
        <w:gridCol w:w="5708"/>
      </w:tblGrid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Elements describe the essential outcomes.</w:t>
            </w:r>
          </w:p>
        </w:tc>
        <w:tc>
          <w:tcPr>
            <w:tcW w:w="6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Performance criteria describe the performance needed to demonstrate achievement of the element.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Determine job requirements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1.1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Follow standard operating procedures (SOPs)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1.2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Comply with work health and safety (WHS) requirements at all times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1.3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Use appropriate personal protective equipment (PPE) in accordance with SOPs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1.4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Identify job requirements from specifications, job sheets or work instructions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Select treatments and processes/ equipment for producing decorative finishes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2.1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Select appropriate treatment processes relevant job specifications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2.2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Select mass treatment processes and carry out, where applicable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2.3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Identify pre-plating treatments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2.4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Select process parameters to achieve required coating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2.5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 xml:space="preserve">Select appropriate equipment 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3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Monitor and control decorative finish processes and operating conditions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3.1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Set operating parameters to produce required decorative finish/specifications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3.2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 xml:space="preserve">Monitor and confirm plate appearance and final finish and identify abnormalities 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3.3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Take corrective actions to rectify non-conforming conditions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3.4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Carry out pre-treatment processes, where applicable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3.5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Check racks, jigs and barrels for correct loading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4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Maintain solutions for decorative finishes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4.1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Check solution compositions and confirm to specification/operating range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4.2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Identify adjustment requirements/additions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4.3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Make additions to adjust solution composition to correct operating range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4.4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Carry out purification procedures, as appropriate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4.5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Maintain anodes to ensure correct operation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5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Maintain equipment for decorative finishes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5.1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Check performance of ancillary equipment and take remedial action, as necessary</w:t>
            </w:r>
          </w:p>
        </w:tc>
      </w:tr>
      <w:tr w:rsidTr="004D5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5.2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BodyText"/>
            </w:pPr>
            <w:r w:rsidRPr="007C0E87">
              <w:t>Maintain electrical contacts, anode condition and process transfer equipment</w:t>
            </w:r>
          </w:p>
        </w:tc>
      </w:tr>
    </w:tbl>
    <w:p w:rsidR="00000000" w:rsidRPr="007C0E87" w:rsidP="007C0E87">
      <w:pPr>
        <w:pStyle w:val="BodyText"/>
      </w:pPr>
    </w:p>
    <w:p w:rsidR="00000000" w:rsidRPr="007C0E87" w:rsidP="007C0E87">
      <w:pPr>
        <w:pStyle w:val="AllowPageBreak"/>
      </w:pPr>
    </w:p>
    <w:p w:rsidR="00000000" w:rsidRPr="007C0E87" w:rsidP="007C0E87">
      <w:pPr>
        <w:pStyle w:val="Heading1"/>
      </w:pPr>
      <w:bookmarkStart w:id="6" w:name="O_948257"/>
      <w:bookmarkEnd w:id="6"/>
      <w:r w:rsidRPr="007C0E87">
        <w:t>Foundation Skills</w:t>
      </w:r>
    </w:p>
    <w:p w:rsidR="00000000" w:rsidRPr="007C0E87" w:rsidP="004D5A59">
      <w:pPr>
        <w:pStyle w:val="BodyText"/>
      </w:pPr>
      <w:r w:rsidRPr="007C0E8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C0E87" w:rsidP="004D5A59">
      <w:pPr>
        <w:pStyle w:val="BodyText"/>
      </w:pPr>
      <w:r w:rsidRPr="007C0E87">
        <w:t xml:space="preserve">Foundation skills essential to performance are explicit in the performance criteria </w:t>
      </w:r>
      <w:r w:rsidRPr="007C0E87">
        <w:t>of this unit of competency.</w:t>
      </w:r>
    </w:p>
    <w:p w:rsidR="00000000" w:rsidRPr="007C0E87" w:rsidP="007C0E87">
      <w:pPr>
        <w:pStyle w:val="Heading1"/>
      </w:pPr>
      <w:bookmarkStart w:id="7" w:name="O_948256"/>
      <w:bookmarkEnd w:id="7"/>
      <w:r w:rsidRPr="007C0E8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t>This field allows for different work environments and conditions that may affect performance. Essential operating conditions that may be present (depending on the work situation, accessibilit</w:t>
            </w:r>
            <w:r w:rsidRPr="007C0E87">
              <w:t>y of the item, and local industry and regional contexts) are included.</w:t>
            </w: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Decorative finishes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nickel</w:t>
            </w:r>
          </w:p>
          <w:p w:rsidR="00000000" w:rsidRPr="007C0E87" w:rsidP="007C0E87">
            <w:pPr>
              <w:pStyle w:val="ListBullet"/>
            </w:pPr>
            <w:r w:rsidRPr="007C0E87">
              <w:t>chrome</w:t>
            </w:r>
          </w:p>
          <w:p w:rsidR="00000000" w:rsidRPr="007C0E87" w:rsidP="007C0E87">
            <w:pPr>
              <w:pStyle w:val="ListBullet"/>
            </w:pPr>
            <w:r w:rsidRPr="007C0E87">
              <w:t>copper</w:t>
            </w:r>
          </w:p>
          <w:p w:rsidR="00000000" w:rsidRPr="007C0E87" w:rsidP="007C0E87">
            <w:pPr>
              <w:pStyle w:val="ListBullet"/>
            </w:pPr>
            <w:r w:rsidRPr="007C0E87">
              <w:t>silver</w:t>
            </w:r>
          </w:p>
          <w:p w:rsidR="00000000" w:rsidRPr="007C0E87" w:rsidP="007C0E87">
            <w:pPr>
              <w:pStyle w:val="ListBullet"/>
            </w:pPr>
            <w:r w:rsidRPr="007C0E87">
              <w:t xml:space="preserve">gold </w:t>
            </w:r>
          </w:p>
          <w:p w:rsidR="00000000" w:rsidRPr="007C0E87" w:rsidP="007C0E87">
            <w:pPr>
              <w:pStyle w:val="ListBullet"/>
            </w:pPr>
            <w:r w:rsidRPr="007C0E87">
              <w:t>rhodium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Treatment processes include one (1) or more of the following:</w:t>
            </w:r>
            <w:r w:rsidRPr="007C0E87">
              <w:t xml:space="preserve"> 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pre-treatment</w:t>
            </w:r>
          </w:p>
          <w:p w:rsidR="00000000" w:rsidRPr="007C0E87" w:rsidP="007C0E87">
            <w:pPr>
              <w:pStyle w:val="ListBullet"/>
            </w:pPr>
            <w:r w:rsidRPr="007C0E87">
              <w:t>electroplating</w:t>
            </w:r>
          </w:p>
          <w:p w:rsidR="00000000" w:rsidRPr="007C0E87" w:rsidP="007C0E87">
            <w:pPr>
              <w:pStyle w:val="ListBullet"/>
            </w:pPr>
            <w:r w:rsidRPr="007C0E87">
              <w:t>electroforming</w:t>
            </w:r>
          </w:p>
          <w:p w:rsidR="00000000" w:rsidRPr="007C0E87" w:rsidP="007C0E87">
            <w:pPr>
              <w:pStyle w:val="ListBullet"/>
            </w:pPr>
            <w:r w:rsidRPr="007C0E87">
              <w:t>electroless plating</w:t>
            </w:r>
          </w:p>
          <w:p w:rsidR="00000000" w:rsidRPr="007C0E87" w:rsidP="007C0E87">
            <w:pPr>
              <w:pStyle w:val="ListBullet"/>
            </w:pPr>
            <w:r w:rsidRPr="007C0E87">
              <w:t>electrophoretic coating</w:t>
            </w:r>
          </w:p>
          <w:p w:rsidR="00000000" w:rsidRPr="007C0E87" w:rsidP="007C0E87">
            <w:pPr>
              <w:pStyle w:val="ListBullet"/>
            </w:pPr>
            <w:r w:rsidRPr="007C0E87">
              <w:t>post treatment plating out</w:t>
            </w:r>
          </w:p>
          <w:p w:rsidR="00000000" w:rsidRPr="007C0E87" w:rsidP="007C0E87">
            <w:pPr>
              <w:pStyle w:val="ListBullet"/>
            </w:pPr>
            <w:r w:rsidRPr="007C0E87">
              <w:t>carbon and chemical treatments for decorative finish solutions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Pre-plating treatments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degreasing</w:t>
            </w:r>
          </w:p>
          <w:p w:rsidR="00000000" w:rsidRPr="007C0E87" w:rsidP="007C0E87">
            <w:pPr>
              <w:pStyle w:val="ListBullet"/>
            </w:pPr>
            <w:r w:rsidRPr="007C0E87">
              <w:t>soak/cleaning</w:t>
            </w:r>
          </w:p>
          <w:p w:rsidR="00000000" w:rsidRPr="007C0E87" w:rsidP="007C0E87">
            <w:pPr>
              <w:pStyle w:val="ListBullet"/>
            </w:pPr>
            <w:r w:rsidRPr="007C0E87">
              <w:t>electrolytic cleaning</w:t>
            </w:r>
          </w:p>
          <w:p w:rsidR="00000000" w:rsidRPr="007C0E87" w:rsidP="007C0E87">
            <w:pPr>
              <w:pStyle w:val="ListBullet"/>
            </w:pPr>
            <w:r w:rsidRPr="007C0E87">
              <w:t>activating dips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wire racks</w:t>
            </w:r>
          </w:p>
          <w:p w:rsidR="00000000" w:rsidRPr="007C0E87" w:rsidP="007C0E87">
            <w:pPr>
              <w:pStyle w:val="ListBullet"/>
            </w:pPr>
            <w:r w:rsidRPr="007C0E87">
              <w:t>handling equipment</w:t>
            </w:r>
          </w:p>
          <w:p w:rsidR="00000000" w:rsidRPr="007C0E87" w:rsidP="007C0E87">
            <w:pPr>
              <w:pStyle w:val="ListBullet"/>
            </w:pPr>
            <w:r w:rsidRPr="007C0E87">
              <w:t>barrels</w:t>
            </w:r>
          </w:p>
          <w:p w:rsidR="00000000" w:rsidRPr="007C0E87" w:rsidP="007C0E87">
            <w:pPr>
              <w:pStyle w:val="ListBullet"/>
            </w:pPr>
            <w:r w:rsidRPr="007C0E87">
              <w:t>jigs</w:t>
            </w:r>
          </w:p>
          <w:p w:rsidR="00000000" w:rsidRPr="007C0E87" w:rsidP="007C0E87">
            <w:pPr>
              <w:pStyle w:val="ListBullet"/>
            </w:pPr>
            <w:r w:rsidRPr="007C0E87">
              <w:t>shields</w:t>
            </w:r>
          </w:p>
          <w:p w:rsidR="00000000" w:rsidRPr="007C0E87" w:rsidP="007C0E87">
            <w:pPr>
              <w:pStyle w:val="ListBullet"/>
            </w:pPr>
            <w:r w:rsidRPr="007C0E87">
              <w:t>robbers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Operating parameters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calculation and setting of treatment times and currents</w:t>
            </w:r>
          </w:p>
          <w:p w:rsidR="00000000" w:rsidRPr="007C0E87" w:rsidP="007C0E87">
            <w:pPr>
              <w:pStyle w:val="ListBullet"/>
            </w:pPr>
            <w:r w:rsidRPr="007C0E87">
              <w:t>bath pH</w:t>
            </w:r>
          </w:p>
          <w:p w:rsidR="00000000" w:rsidRPr="007C0E87" w:rsidP="007C0E87">
            <w:pPr>
              <w:pStyle w:val="ListBullet"/>
            </w:pPr>
            <w:r w:rsidRPr="007C0E87">
              <w:t>temperatures and densities</w:t>
            </w:r>
          </w:p>
          <w:p w:rsidR="00000000" w:rsidRPr="007C0E87" w:rsidP="007C0E87">
            <w:pPr>
              <w:pStyle w:val="ListBullet"/>
            </w:pPr>
            <w:r w:rsidRPr="007C0E87">
              <w:t>agitation rate</w:t>
            </w:r>
          </w:p>
          <w:p w:rsidR="00000000" w:rsidRPr="007C0E87" w:rsidP="007C0E87">
            <w:pPr>
              <w:pStyle w:val="ListBullet"/>
            </w:pPr>
            <w:r w:rsidRPr="007C0E87">
              <w:t>process (deposition) time</w:t>
            </w:r>
          </w:p>
          <w:p w:rsidR="00000000" w:rsidRPr="007C0E87" w:rsidP="007C0E87">
            <w:pPr>
              <w:pStyle w:val="ListBullet"/>
            </w:pPr>
            <w:r w:rsidRPr="007C0E87">
              <w:t>solution levels and compositions</w:t>
            </w:r>
          </w:p>
          <w:p w:rsidR="00000000" w:rsidRPr="007C0E87" w:rsidP="007C0E87">
            <w:pPr>
              <w:pStyle w:val="ListBullet"/>
            </w:pPr>
            <w:r w:rsidRPr="007C0E87">
              <w:t>purification procedures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Abnormalities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poor/uneven brightness/texture</w:t>
            </w:r>
          </w:p>
          <w:p w:rsidR="00000000" w:rsidRPr="007C0E87" w:rsidP="007C0E87">
            <w:pPr>
              <w:pStyle w:val="ListBullet"/>
            </w:pPr>
            <w:r w:rsidRPr="007C0E87">
              <w:t>inadequate levelling</w:t>
            </w:r>
          </w:p>
          <w:p w:rsidR="00000000" w:rsidRPr="007C0E87" w:rsidP="007C0E87">
            <w:pPr>
              <w:pStyle w:val="ListBullet"/>
            </w:pPr>
            <w:r w:rsidRPr="007C0E87">
              <w:t>roughness</w:t>
            </w:r>
          </w:p>
          <w:p w:rsidR="00000000" w:rsidRPr="007C0E87" w:rsidP="007C0E87">
            <w:pPr>
              <w:pStyle w:val="ListBullet"/>
            </w:pPr>
            <w:r w:rsidRPr="007C0E87">
              <w:t>pitting</w:t>
            </w:r>
          </w:p>
          <w:p w:rsidR="00000000" w:rsidRPr="007C0E87" w:rsidP="007C0E87">
            <w:pPr>
              <w:pStyle w:val="ListBullet"/>
            </w:pPr>
            <w:r w:rsidRPr="007C0E87">
              <w:t>poor adhesion</w:t>
            </w:r>
          </w:p>
          <w:p w:rsidR="00000000" w:rsidRPr="007C0E87" w:rsidP="007C0E87">
            <w:pPr>
              <w:pStyle w:val="ListBullet"/>
            </w:pPr>
            <w:r w:rsidRPr="007C0E87">
              <w:t>blistering</w:t>
            </w:r>
          </w:p>
          <w:p w:rsidR="00000000" w:rsidRPr="007C0E87" w:rsidP="007C0E87">
            <w:pPr>
              <w:pStyle w:val="ListBullet"/>
            </w:pPr>
            <w:r w:rsidRPr="007C0E87">
              <w:t>burning</w:t>
            </w:r>
          </w:p>
          <w:p w:rsidR="00000000" w:rsidRPr="007C0E87" w:rsidP="007C0E87">
            <w:pPr>
              <w:pStyle w:val="ListBullet"/>
            </w:pPr>
            <w:r w:rsidRPr="007C0E87">
              <w:t>poor plate coverage (particularly chromium)</w:t>
            </w:r>
          </w:p>
          <w:p w:rsidR="00000000" w:rsidRPr="007C0E87" w:rsidP="007C0E87">
            <w:pPr>
              <w:pStyle w:val="ListBullet"/>
            </w:pPr>
            <w:r w:rsidRPr="007C0E87">
              <w:t>incorrect colour (particularly flash brass, gold)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Maintain solutions include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typical tests for pH density and titration and calculation of adjustments to relevant solutions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Solution compositions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cleaning</w:t>
            </w:r>
          </w:p>
          <w:p w:rsidR="00000000" w:rsidRPr="007C0E87" w:rsidP="007C0E87">
            <w:pPr>
              <w:pStyle w:val="ListBullet"/>
            </w:pPr>
            <w:r w:rsidRPr="007C0E87">
              <w:t>pickling</w:t>
            </w:r>
          </w:p>
          <w:p w:rsidR="00000000" w:rsidRPr="007C0E87" w:rsidP="007C0E87">
            <w:pPr>
              <w:pStyle w:val="ListBullet"/>
            </w:pPr>
            <w:r w:rsidRPr="007C0E87">
              <w:t>electroplating</w:t>
            </w:r>
          </w:p>
          <w:p w:rsidR="00000000" w:rsidRPr="007C0E87" w:rsidP="007C0E87">
            <w:pPr>
              <w:pStyle w:val="ListBullet"/>
            </w:pPr>
            <w:r w:rsidRPr="007C0E87">
              <w:t xml:space="preserve">chromate solutions </w:t>
            </w:r>
          </w:p>
          <w:p w:rsidR="00000000" w:rsidRPr="007C0E87" w:rsidP="007C0E87">
            <w:pPr>
              <w:pStyle w:val="ListBullet"/>
            </w:pPr>
            <w:r w:rsidRPr="007C0E87">
              <w:t>acid dips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Anodes include the following</w:t>
            </w:r>
            <w:r w:rsidRPr="007C0E87">
              <w:rPr>
                <w:rStyle w:val="SpecialBold"/>
              </w:rPr>
              <w:t>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soluble and insoluble auxiliary anodes</w:t>
            </w:r>
          </w:p>
          <w:p w:rsidR="00000000" w:rsidP="007C0E87">
            <w:pPr>
              <w:pStyle w:val="BodyText"/>
              <w:rPr>
                <w:lang w:val="en-NZ"/>
              </w:rPr>
            </w:pPr>
          </w:p>
        </w:tc>
      </w:tr>
      <w:tr w:rsidTr="007C0E8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87">
            <w:pPr>
              <w:pStyle w:val="BodyText"/>
              <w:rPr>
                <w:lang w:val="en-NZ"/>
              </w:rPr>
            </w:pPr>
            <w:r w:rsidRPr="007C0E87">
              <w:rPr>
                <w:rStyle w:val="SpecialBold"/>
              </w:rPr>
              <w:t>Process transfer 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87" w:rsidP="007C0E87">
            <w:pPr>
              <w:pStyle w:val="ListBullet"/>
            </w:pPr>
            <w:r w:rsidRPr="007C0E87">
              <w:t>baskets</w:t>
            </w:r>
          </w:p>
          <w:p w:rsidR="00000000" w:rsidRPr="007C0E87" w:rsidP="007C0E87">
            <w:pPr>
              <w:pStyle w:val="ListBullet"/>
            </w:pPr>
            <w:r w:rsidRPr="007C0E87">
              <w:t>spreader bars</w:t>
            </w:r>
          </w:p>
          <w:p w:rsidR="00000000" w:rsidRPr="007C0E87" w:rsidP="007C0E87">
            <w:pPr>
              <w:pStyle w:val="ListBullet"/>
            </w:pPr>
            <w:r w:rsidRPr="007C0E87">
              <w:t>racks</w:t>
            </w:r>
          </w:p>
          <w:p w:rsidR="00000000" w:rsidRPr="007C0E87" w:rsidP="007C0E87">
            <w:pPr>
              <w:pStyle w:val="ListBullet"/>
            </w:pPr>
            <w:r w:rsidRPr="007C0E87">
              <w:t xml:space="preserve">hooks </w:t>
            </w:r>
          </w:p>
        </w:tc>
      </w:tr>
    </w:tbl>
    <w:p w:rsidR="00000000" w:rsidRPr="007C0E87" w:rsidP="007C0E87">
      <w:pPr>
        <w:pStyle w:val="BodyText"/>
      </w:pPr>
    </w:p>
    <w:p w:rsidR="00000000" w:rsidRPr="007C0E87" w:rsidP="007C0E87">
      <w:pPr>
        <w:pStyle w:val="AllowPageBreak"/>
      </w:pPr>
    </w:p>
    <w:p w:rsidR="00000000" w:rsidRPr="007C0E87" w:rsidP="007C0E87">
      <w:pPr>
        <w:pStyle w:val="Heading1"/>
      </w:pPr>
      <w:bookmarkStart w:id="8" w:name="O_948255"/>
      <w:bookmarkEnd w:id="8"/>
      <w:r w:rsidRPr="007C0E87">
        <w:t>Unit Mapping Information</w:t>
      </w:r>
    </w:p>
    <w:p w:rsidR="00000000" w:rsidRPr="007C0E87" w:rsidP="004D5A59">
      <w:pPr>
        <w:pStyle w:val="BodyText"/>
      </w:pPr>
      <w:r w:rsidRPr="007C0E87">
        <w:t>Release 1. Supersedes and is equivalent to MEM08020B</w:t>
      </w:r>
      <w:r w:rsidRPr="007C0E87">
        <w:t xml:space="preserve"> Electroplate decorative finishes</w:t>
      </w:r>
    </w:p>
    <w:p w:rsidR="00000000" w:rsidRPr="007C0E87" w:rsidP="007C0E87">
      <w:pPr>
        <w:pStyle w:val="Heading1"/>
      </w:pPr>
      <w:bookmarkStart w:id="9" w:name="O_948248"/>
      <w:bookmarkEnd w:id="9"/>
      <w:r w:rsidRPr="007C0E87">
        <w:t>Links</w:t>
      </w:r>
    </w:p>
    <w:p w:rsidR="00000000" w:rsidRPr="007C0E87" w:rsidP="004D5A59">
      <w:pPr>
        <w:pStyle w:val="BodyText"/>
      </w:pPr>
      <w:r w:rsidRPr="007C0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73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0E87" w:rsidP="007C0E87"/>
    <w:sectPr w:rsidSect="007C0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87" w:rsidRPr="004D5A59" w:rsidP="004D5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59" w:rsidP="007C0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5A59" w:rsidP="007C0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5A59" w:rsidP="007C0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E87" w:rsidRPr="004D5A59" w:rsidP="004D5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59" w:rsidRPr="002D2AF8" w:rsidP="007C0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MEM08020 Electroplate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D5A59" w:rsidP="007C0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7E2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28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E87"/>
  </w:style>
  <w:style w:type="character" w:customStyle="1" w:styleId="Heading1Char">
    <w:name w:val="Heading 1 Char"/>
    <w:basedOn w:val="DefaultParagraphFont"/>
    <w:link w:val="Heading1"/>
    <w:rsid w:val="007C0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E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E87"/>
    <w:rPr>
      <w:b/>
      <w:spacing w:val="0"/>
    </w:rPr>
  </w:style>
  <w:style w:type="paragraph" w:customStyle="1" w:styleId="SuperHeading">
    <w:name w:val="SuperHeading"/>
    <w:basedOn w:val="Normal"/>
    <w:rsid w:val="007C0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E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E87"/>
    <w:rPr>
      <w:i/>
    </w:rPr>
  </w:style>
  <w:style w:type="paragraph" w:styleId="Caption">
    <w:name w:val="caption"/>
    <w:basedOn w:val="BodyText"/>
    <w:next w:val="Normal"/>
    <w:qFormat/>
    <w:rsid w:val="007C0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E87"/>
  </w:style>
  <w:style w:type="paragraph" w:styleId="TableofFigures">
    <w:name w:val="table of figures"/>
    <w:basedOn w:val="Normal"/>
    <w:next w:val="Normal"/>
    <w:semiHidden/>
    <w:rsid w:val="007C0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E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E87"/>
    <w:rPr>
      <w:rFonts w:ascii="Wingdings" w:hAnsi="Wingdings"/>
    </w:rPr>
  </w:style>
  <w:style w:type="paragraph" w:customStyle="1" w:styleId="TableHeading">
    <w:name w:val="Table Heading"/>
    <w:basedOn w:val="HeadingBase"/>
    <w:rsid w:val="007C0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E87"/>
    <w:rPr>
      <w:color w:val="0033CC"/>
      <w:u w:val="none"/>
    </w:rPr>
  </w:style>
  <w:style w:type="paragraph" w:customStyle="1" w:styleId="BodyTextRight">
    <w:name w:val="Body Text Right"/>
    <w:basedOn w:val="BodyText"/>
    <w:rsid w:val="007C0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E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E87"/>
    <w:rPr>
      <w:sz w:val="32"/>
    </w:rPr>
  </w:style>
  <w:style w:type="paragraph" w:customStyle="1" w:styleId="HeadingProcedure">
    <w:name w:val="Heading Procedure"/>
    <w:basedOn w:val="HeadingBase"/>
    <w:next w:val="Normal"/>
    <w:rsid w:val="007C0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E87"/>
    <w:pPr>
      <w:spacing w:before="60" w:after="60"/>
    </w:pPr>
  </w:style>
  <w:style w:type="paragraph" w:styleId="ListContinue">
    <w:name w:val="List Continue"/>
    <w:basedOn w:val="List"/>
    <w:rsid w:val="007C0E87"/>
    <w:pPr>
      <w:ind w:firstLine="0"/>
    </w:pPr>
  </w:style>
  <w:style w:type="paragraph" w:customStyle="1" w:styleId="ListNote">
    <w:name w:val="List Note"/>
    <w:basedOn w:val="List"/>
    <w:rsid w:val="007C0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E87"/>
    <w:rPr>
      <w:rFonts w:ascii="Courier New" w:hAnsi="Courier New"/>
    </w:rPr>
  </w:style>
  <w:style w:type="paragraph" w:customStyle="1" w:styleId="NoteBullet">
    <w:name w:val="Note Bullet"/>
    <w:basedOn w:val="Note"/>
    <w:rsid w:val="007C0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E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E87"/>
    <w:rPr>
      <w:b/>
      <w:smallCaps/>
    </w:rPr>
  </w:style>
  <w:style w:type="paragraph" w:customStyle="1" w:styleId="TableListNumber">
    <w:name w:val="Table List Number"/>
    <w:basedOn w:val="ListNumber"/>
    <w:rsid w:val="007C0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E87"/>
    <w:pPr>
      <w:numPr>
        <w:numId w:val="8"/>
      </w:numPr>
    </w:pPr>
  </w:style>
  <w:style w:type="paragraph" w:customStyle="1" w:styleId="ListAlpha2">
    <w:name w:val="List Alpha 2"/>
    <w:basedOn w:val="List2"/>
    <w:rsid w:val="007C0E87"/>
    <w:pPr>
      <w:numPr>
        <w:numId w:val="7"/>
      </w:numPr>
    </w:pPr>
  </w:style>
  <w:style w:type="paragraph" w:styleId="List2">
    <w:name w:val="List 2"/>
    <w:basedOn w:val="BodyText"/>
    <w:rsid w:val="007C0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E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E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E87"/>
    <w:pPr>
      <w:numPr>
        <w:numId w:val="3"/>
      </w:numPr>
    </w:pPr>
  </w:style>
  <w:style w:type="paragraph" w:styleId="ListContinue2">
    <w:name w:val="List Continue 2"/>
    <w:basedOn w:val="List2"/>
    <w:rsid w:val="007C0E87"/>
    <w:pPr>
      <w:ind w:firstLine="0"/>
    </w:pPr>
  </w:style>
  <w:style w:type="paragraph" w:styleId="ListContinue3">
    <w:name w:val="List Continue 3"/>
    <w:basedOn w:val="List3"/>
    <w:rsid w:val="007C0E87"/>
    <w:pPr>
      <w:ind w:left="1021" w:firstLine="0"/>
    </w:pPr>
  </w:style>
  <w:style w:type="paragraph" w:styleId="ListContinue4">
    <w:name w:val="List Continue 4"/>
    <w:basedOn w:val="List4"/>
    <w:rsid w:val="007C0E87"/>
    <w:pPr>
      <w:ind w:firstLine="0"/>
    </w:pPr>
  </w:style>
  <w:style w:type="paragraph" w:styleId="ListContinue5">
    <w:name w:val="List Continue 5"/>
    <w:basedOn w:val="List5"/>
    <w:rsid w:val="007C0E87"/>
    <w:pPr>
      <w:ind w:firstLine="0"/>
    </w:pPr>
  </w:style>
  <w:style w:type="paragraph" w:styleId="ListNumber3">
    <w:name w:val="List Number 3"/>
    <w:basedOn w:val="List3"/>
    <w:rsid w:val="007C0E87"/>
    <w:pPr>
      <w:numPr>
        <w:numId w:val="4"/>
      </w:numPr>
    </w:pPr>
  </w:style>
  <w:style w:type="paragraph" w:styleId="ListNumber4">
    <w:name w:val="List Number 4"/>
    <w:basedOn w:val="List4"/>
    <w:rsid w:val="007C0E87"/>
    <w:pPr>
      <w:numPr>
        <w:numId w:val="5"/>
      </w:numPr>
    </w:pPr>
  </w:style>
  <w:style w:type="paragraph" w:styleId="ListNumber5">
    <w:name w:val="List Number 5"/>
    <w:basedOn w:val="List5"/>
    <w:rsid w:val="007C0E87"/>
    <w:pPr>
      <w:numPr>
        <w:numId w:val="6"/>
      </w:numPr>
    </w:pPr>
  </w:style>
  <w:style w:type="paragraph" w:styleId="BlockText">
    <w:name w:val="Block Text"/>
    <w:basedOn w:val="Normal"/>
    <w:rsid w:val="007C0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E87"/>
    <w:rPr>
      <w:sz w:val="16"/>
      <w:vertAlign w:val="superscript"/>
    </w:rPr>
  </w:style>
  <w:style w:type="character" w:customStyle="1" w:styleId="Symbols">
    <w:name w:val="Symbols"/>
    <w:basedOn w:val="DefaultParagraphFont"/>
    <w:rsid w:val="007C0E87"/>
    <w:rPr>
      <w:rFonts w:ascii="Symbol" w:hAnsi="Symbol"/>
    </w:rPr>
  </w:style>
  <w:style w:type="character" w:customStyle="1" w:styleId="MenuOptions">
    <w:name w:val="Menu Options"/>
    <w:basedOn w:val="DefaultParagraphFont"/>
    <w:rsid w:val="007C0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E87"/>
    <w:rPr>
      <w:b/>
    </w:rPr>
  </w:style>
  <w:style w:type="character" w:customStyle="1" w:styleId="Underlined">
    <w:name w:val="Underlined"/>
    <w:basedOn w:val="DefaultParagraphFont"/>
    <w:rsid w:val="007C0E87"/>
    <w:rPr>
      <w:u w:val="single"/>
    </w:rPr>
  </w:style>
  <w:style w:type="paragraph" w:customStyle="1" w:styleId="TableBodyTextRight">
    <w:name w:val="Table Body Text Right"/>
    <w:basedOn w:val="TableBodyText"/>
    <w:rsid w:val="007C0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E87"/>
    <w:rPr>
      <w:sz w:val="18"/>
    </w:rPr>
  </w:style>
  <w:style w:type="paragraph" w:customStyle="1" w:styleId="BodySmallRight">
    <w:name w:val="Body Small Right"/>
    <w:basedOn w:val="BodyTextRight"/>
    <w:rsid w:val="007C0E87"/>
    <w:rPr>
      <w:sz w:val="18"/>
      <w:szCs w:val="18"/>
    </w:rPr>
  </w:style>
  <w:style w:type="paragraph" w:customStyle="1" w:styleId="MarginEdition">
    <w:name w:val="Margin Edition"/>
    <w:basedOn w:val="MarginNote"/>
    <w:rsid w:val="007C0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E87"/>
    <w:rPr>
      <w:sz w:val="2"/>
      <w:szCs w:val="2"/>
    </w:rPr>
  </w:style>
  <w:style w:type="character" w:customStyle="1" w:styleId="Small">
    <w:name w:val="Small"/>
    <w:basedOn w:val="DefaultParagraphFont"/>
    <w:rsid w:val="007C0E87"/>
    <w:rPr>
      <w:sz w:val="16"/>
    </w:rPr>
  </w:style>
  <w:style w:type="paragraph" w:customStyle="1" w:styleId="WideTable">
    <w:name w:val="Wide Table"/>
    <w:basedOn w:val="Normal"/>
    <w:rsid w:val="007C0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E87"/>
  </w:style>
  <w:style w:type="paragraph" w:styleId="Quote">
    <w:name w:val="Quote"/>
    <w:basedOn w:val="Heading1"/>
    <w:link w:val="QuoteChar"/>
    <w:qFormat/>
    <w:rsid w:val="007C0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E87"/>
    <w:pPr>
      <w:pageBreakBefore/>
    </w:pPr>
  </w:style>
  <w:style w:type="paragraph" w:customStyle="1" w:styleId="Border">
    <w:name w:val="Border"/>
    <w:basedOn w:val="Normal"/>
    <w:qFormat/>
    <w:rsid w:val="007C0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E87"/>
    <w:rPr>
      <w:u w:val="single"/>
    </w:rPr>
  </w:style>
  <w:style w:type="character" w:customStyle="1" w:styleId="BoldandItalics">
    <w:name w:val="Bold and Italics"/>
    <w:qFormat/>
    <w:rsid w:val="007C0E87"/>
    <w:rPr>
      <w:b/>
      <w:i/>
      <w:u w:val="none"/>
    </w:rPr>
  </w:style>
  <w:style w:type="paragraph" w:styleId="BalloonText">
    <w:name w:val="Balloon Text"/>
    <w:basedOn w:val="Normal"/>
    <w:link w:val="BalloonTextChar"/>
    <w:rsid w:val="007C0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E87"/>
    <w:pPr>
      <w:spacing w:before="0" w:after="0"/>
    </w:pPr>
  </w:style>
  <w:style w:type="paragraph" w:customStyle="1" w:styleId="BodyTextBold">
    <w:name w:val="Body Text Bold"/>
    <w:basedOn w:val="BodyText"/>
    <w:qFormat/>
    <w:rsid w:val="007C0E87"/>
    <w:rPr>
      <w:b/>
    </w:rPr>
  </w:style>
  <w:style w:type="character" w:styleId="Hyperlink">
    <w:name w:val="Hyperlink"/>
    <w:basedOn w:val="DefaultParagraphFont"/>
    <w:uiPriority w:val="99"/>
    <w:unhideWhenUsed/>
    <w:rsid w:val="004D5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904</Words>
  <Characters>6079</Characters>
  <Application>Microsoft Office Word</Application>
  <DocSecurity>0</DocSecurity>
  <Lines>319</Lines>
  <Paragraphs>188</Paragraphs>
  <ScaleCrop>false</ScaleCrop>
  <Company>Author-it Software Corporation Ltd.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MEM08020 Electroplate decorative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