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BEA" w:rsidP="00E63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MEM08014 Apply protective coatings (basic)</w:t>
      </w:r>
      <w:r>
        <w:fldChar w:fldCharType="end"/>
      </w:r>
    </w:p>
    <w:p w:rsidR="00E63BEA" w:rsidP="00E63BEA">
      <w:pPr>
        <w:pStyle w:val="Version"/>
        <w:sectPr w:rsidSect="00B94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EF0" w:rsidP="00B94EF0">
      <w:pPr>
        <w:pStyle w:val="SuperHeading"/>
      </w:pPr>
      <w:r w:rsidRPr="00B94EF0">
        <w:t>MEM08014 Apply protective coatings (basic)</w:t>
      </w:r>
    </w:p>
    <w:p w:rsidR="00000000" w:rsidRPr="00B94EF0" w:rsidP="00B94EF0">
      <w:pPr>
        <w:pStyle w:val="Heading1"/>
      </w:pPr>
      <w:bookmarkStart w:id="1" w:name="O_948159"/>
      <w:bookmarkEnd w:id="1"/>
      <w:r w:rsidRPr="00B94EF0">
        <w:t>Modification History</w:t>
      </w:r>
    </w:p>
    <w:p w:rsidR="00000000" w:rsidRPr="00B94EF0" w:rsidP="00E63BEA">
      <w:pPr>
        <w:pStyle w:val="BodyText"/>
      </w:pPr>
      <w:r w:rsidRPr="00B94EF0">
        <w:t>Release 1. Supersedes and is equivalent to MEM08014B Apply protective coatings (basic)</w:t>
      </w:r>
    </w:p>
    <w:p w:rsidR="00000000" w:rsidRPr="00B94EF0" w:rsidP="00B94EF0">
      <w:pPr>
        <w:pStyle w:val="Heading1"/>
      </w:pPr>
      <w:bookmarkStart w:id="2" w:name="O_948167"/>
      <w:bookmarkEnd w:id="2"/>
      <w:r w:rsidRPr="00B94EF0">
        <w:t>Application</w:t>
      </w:r>
    </w:p>
    <w:p w:rsidR="00000000" w:rsidRPr="00B94EF0" w:rsidP="00E63BEA">
      <w:pPr>
        <w:pStyle w:val="BodyText"/>
      </w:pPr>
      <w:r w:rsidRPr="00B94EF0">
        <w:t>This unit of competency defines the skills and knowledge required to follow pre-determined procedures to spray pre-trea</w:t>
      </w:r>
      <w:r w:rsidRPr="00B94EF0">
        <w:t>tments and protective coatings at a basic level where an understanding of specific health and safety matters is required. It covers single and two-pack coatings not containing isocyanates.</w:t>
      </w:r>
    </w:p>
    <w:p w:rsidR="00000000" w:rsidRPr="00B94EF0" w:rsidP="00E63BEA">
      <w:pPr>
        <w:pStyle w:val="BodyText"/>
      </w:pPr>
      <w:r w:rsidRPr="00B94EF0">
        <w:t>Where isocyanates are present unit MEM08015 Apply protective coati</w:t>
      </w:r>
      <w:r w:rsidRPr="00B94EF0">
        <w:t>ngs (advanced) should also be selected.</w:t>
      </w:r>
    </w:p>
    <w:p w:rsidR="00000000" w:rsidRPr="00B94EF0" w:rsidP="00E63BEA">
      <w:pPr>
        <w:pStyle w:val="BodyText"/>
      </w:pPr>
      <w:r w:rsidRPr="00B94EF0">
        <w:t>Where the interpretation of technical drawings is required unit MEM09002 Interpret technical drawing should also be selected.</w:t>
      </w:r>
    </w:p>
    <w:p w:rsidR="00000000" w:rsidRPr="00B94EF0" w:rsidP="00E63BEA">
      <w:pPr>
        <w:pStyle w:val="BodyText"/>
      </w:pPr>
      <w:r w:rsidRPr="00B94EF0">
        <w:t xml:space="preserve">Where the selection and use of mobile load shifting equipment is required unit MEM11004 </w:t>
      </w:r>
      <w:r w:rsidRPr="00B94EF0">
        <w:t xml:space="preserve">Undertake dogging and unit MEM11010 Operate mobile load shifting equipment, should also be selected as appropriate. </w:t>
      </w:r>
    </w:p>
    <w:p w:rsidR="00000000" w:rsidRPr="00B94EF0" w:rsidP="00E63BEA">
      <w:pPr>
        <w:pStyle w:val="BodyText"/>
      </w:pPr>
      <w:r w:rsidRPr="00B94EF0">
        <w:t>Where the selection and use of engineering measurement is required unit MEM12023 Perform engineering measurements should also be selected.</w:t>
      </w:r>
    </w:p>
    <w:p w:rsidR="00000000" w:rsidRPr="00B94EF0" w:rsidP="00E63BEA">
      <w:pPr>
        <w:pStyle w:val="BodyText"/>
      </w:pPr>
      <w:r w:rsidRPr="00B94EF0">
        <w:t>Where the selection and use of tools is required unit MEM18001 Use hand tools and unit MEM18002 Use power tools/hand held operations, should also be selected as appropriate.</w:t>
      </w:r>
    </w:p>
    <w:p w:rsidR="00000000" w:rsidRPr="00B94EF0" w:rsidP="00E63BEA">
      <w:pPr>
        <w:pStyle w:val="BodyText"/>
      </w:pPr>
      <w:r w:rsidRPr="00B94EF0">
        <w:t>No licensing, legislative or certification requirements apply to this unit at t</w:t>
      </w:r>
      <w:r w:rsidRPr="00B94EF0">
        <w:t xml:space="preserve">he time of publication.   </w:t>
      </w:r>
    </w:p>
    <w:p w:rsidR="00000000" w:rsidRPr="00B94EF0" w:rsidP="00B94EF0">
      <w:pPr>
        <w:pStyle w:val="BodyText"/>
      </w:pPr>
      <w:r w:rsidRPr="00B94EF0">
        <w:rPr>
          <w:rStyle w:val="SpecialBold"/>
        </w:rPr>
        <w:t>Band:</w:t>
      </w:r>
      <w:r w:rsidRPr="00B94EF0">
        <w:rPr>
          <w:rStyle w:val="SpecialBold"/>
        </w:rPr>
        <w:tab/>
        <w:t>A</w:t>
      </w:r>
    </w:p>
    <w:p w:rsidR="00000000" w:rsidRPr="00B94EF0" w:rsidP="00B94EF0">
      <w:pPr>
        <w:pStyle w:val="BodyText"/>
      </w:pPr>
      <w:r w:rsidRPr="00B94EF0">
        <w:rPr>
          <w:rStyle w:val="SpecialBold"/>
        </w:rPr>
        <w:t>Unit Weight:</w:t>
      </w:r>
      <w:r w:rsidRPr="00B94EF0">
        <w:rPr>
          <w:rStyle w:val="SpecialBold"/>
        </w:rPr>
        <w:tab/>
        <w:t>4</w:t>
      </w:r>
    </w:p>
    <w:p w:rsidR="00000000" w:rsidRPr="00B94EF0" w:rsidP="00B94EF0">
      <w:pPr>
        <w:pStyle w:val="AllowPageBreak"/>
      </w:pPr>
    </w:p>
    <w:p w:rsidR="00000000" w:rsidRPr="00B94EF0" w:rsidP="00B94EF0">
      <w:pPr>
        <w:pStyle w:val="Heading1"/>
      </w:pPr>
      <w:bookmarkStart w:id="3" w:name="O_948166"/>
      <w:bookmarkEnd w:id="3"/>
      <w:r w:rsidRPr="00B94EF0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B94E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MEM11011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Undertake manual handling</w:t>
            </w:r>
          </w:p>
        </w:tc>
      </w:tr>
      <w:tr w:rsidTr="00B94E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MEM13003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Work safely with industrial chemicals and materials</w:t>
            </w:r>
          </w:p>
        </w:tc>
      </w:tr>
      <w:tr w:rsidTr="00B94E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Work safely and effectively in manufacturing and engineering</w:t>
            </w:r>
          </w:p>
        </w:tc>
      </w:tr>
      <w:tr w:rsidTr="00B94E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Organise and communicate information</w:t>
            </w:r>
          </w:p>
        </w:tc>
      </w:tr>
    </w:tbl>
    <w:p w:rsidR="00000000" w:rsidRPr="00B94EF0" w:rsidP="00B94EF0">
      <w:pPr>
        <w:pStyle w:val="BodyText"/>
      </w:pPr>
    </w:p>
    <w:p w:rsidR="00000000" w:rsidRPr="00B94EF0" w:rsidP="00B94EF0">
      <w:pPr>
        <w:pStyle w:val="AllowPageBreak"/>
      </w:pPr>
    </w:p>
    <w:p w:rsidR="00000000" w:rsidRPr="00B94EF0" w:rsidP="00B94EF0">
      <w:pPr>
        <w:pStyle w:val="Heading1"/>
      </w:pPr>
      <w:bookmarkStart w:id="4" w:name="O_948165"/>
      <w:bookmarkEnd w:id="4"/>
      <w:r w:rsidRPr="00B94EF0">
        <w:t>Competency Field</w:t>
      </w:r>
    </w:p>
    <w:p w:rsidR="00000000" w:rsidRPr="00B94EF0" w:rsidP="00E63BEA">
      <w:pPr>
        <w:pStyle w:val="BodyText"/>
      </w:pPr>
      <w:r w:rsidRPr="00B94EF0">
        <w:t>Surface finishing</w:t>
      </w:r>
    </w:p>
    <w:p w:rsidR="00000000" w:rsidRPr="00B94EF0" w:rsidP="00B94EF0">
      <w:pPr>
        <w:pStyle w:val="Heading1"/>
      </w:pPr>
      <w:bookmarkStart w:id="5" w:name="O_948163"/>
      <w:bookmarkEnd w:id="5"/>
      <w:r w:rsidRPr="00B94E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Performance criteria describe the performance needed to demons</w:t>
            </w:r>
            <w:r w:rsidRPr="00B94EF0">
              <w:t>trate achievement of the element.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Follow standard operating procedures (SOPs)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Comply with work health and safety (WHS) requirements at all times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job requirements from specifications, job sheets or work instructions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and interpret supplier information, product details, Australian and international standards, regulatory and legislative requirements relevant to the work to be u</w:t>
            </w:r>
            <w:r w:rsidRPr="00B94EF0">
              <w:t>ndertaken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Obtain required protective coating materials according to job requirements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Gather required protective coating application equipment according to job requirements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Prepare worksite for application of protective coating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Select and maintain personal protective equipment (PPE)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Select and use appropriate personal protective equipment (PPE) for coating application according to job requirements and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and use ancillary support attachments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Maintain PPE in accordance with manufacturers</w:t>
            </w:r>
            <w:r>
              <w:t>’</w:t>
            </w:r>
            <w:r w:rsidRPr="00B94EF0">
              <w:t xml:space="preserve"> specification and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Prepare work piece for application of protective coating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Inspect surface condition for readiness for application of protective coating according to specification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unsuitable work pieces/surfaces and fabrication defects and undertake appropriate remedial action or report in accordance with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Mask components where protective coating application is not specified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conditions for overspray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>
            <w:pPr>
              <w:pStyle w:val="BodyText"/>
              <w:keepLines w:val="0"/>
            </w:pP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Prepare equipment for application of surface coating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Undertake routine maintenance on plant and equipment in accordance with procedures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Record status/report by proforma or orally in accordance with procedures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Assemble conventional coating application equipment in accordance wit</w:t>
            </w:r>
            <w:r w:rsidRPr="00B94EF0">
              <w:t xml:space="preserve">h equipment requirements 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Apply single pack coatings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Identify coating product type, solvent, uses, mixing procedure, clean-up and safety requirements, as appropriate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Demonstrate correct method of wet film thickness in accordance with</w:t>
            </w:r>
            <w:r w:rsidRPr="00B94EF0">
              <w:t xml:space="preserve"> specified dry film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Thin coating material to suit the application method and achieve required film thickness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 xml:space="preserve">Apply coating using specified application method 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Use coating schedules for metal and non-metal materials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6.6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Monitor coating application and curing technique according to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Clean and store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Clean and disassemble conventional coating application equipment and inspect for damage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Record and report faulty equipment to appropriate personnel in accordance with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Store coating application equipment in accordance with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8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Inspect finish surface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8.1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Assess surface finish for profile size differences and uses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8.2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Determine coating thickness using appropriate instruments and compare results with job specifications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8.3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Inspect total surface for conformance to specification in accordance with SOPs</w:t>
            </w:r>
          </w:p>
        </w:tc>
      </w:tr>
      <w:tr w:rsidTr="00B94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8.4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BodyText"/>
            </w:pPr>
            <w:r w:rsidRPr="00B94EF0">
              <w:t>Record inspection results in accordance with SOPs</w:t>
            </w:r>
          </w:p>
        </w:tc>
      </w:tr>
    </w:tbl>
    <w:p w:rsidR="00000000" w:rsidRPr="00B94EF0" w:rsidP="00B94EF0">
      <w:pPr>
        <w:pStyle w:val="BodyText"/>
      </w:pPr>
    </w:p>
    <w:p w:rsidR="00000000" w:rsidRPr="00B94EF0" w:rsidP="00B94EF0">
      <w:pPr>
        <w:pStyle w:val="AllowPageBreak"/>
      </w:pPr>
    </w:p>
    <w:p w:rsidR="00000000" w:rsidRPr="00B94EF0" w:rsidP="00B94EF0">
      <w:pPr>
        <w:pStyle w:val="Heading1"/>
      </w:pPr>
      <w:bookmarkStart w:id="6" w:name="O_948162"/>
      <w:bookmarkEnd w:id="6"/>
      <w:r w:rsidRPr="00B94EF0">
        <w:t>Foundation Skills</w:t>
      </w:r>
    </w:p>
    <w:p w:rsidR="00000000" w:rsidRPr="00B94EF0" w:rsidP="00E63BEA">
      <w:pPr>
        <w:pStyle w:val="BodyText"/>
      </w:pPr>
      <w:r w:rsidRPr="00B94E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94EF0" w:rsidP="00E63BEA">
      <w:pPr>
        <w:pStyle w:val="BodyText"/>
      </w:pPr>
      <w:r w:rsidRPr="00B94EF0">
        <w:t>Foundation skills essential to performance are explicit in</w:t>
      </w:r>
      <w:r w:rsidRPr="00B94EF0">
        <w:t xml:space="preserve"> the performance criteria of this unit of competency.</w:t>
      </w:r>
    </w:p>
    <w:p w:rsidR="00000000" w:rsidRPr="00B94EF0" w:rsidP="00B94EF0">
      <w:pPr>
        <w:pStyle w:val="Heading1"/>
      </w:pPr>
      <w:bookmarkStart w:id="7" w:name="O_948161"/>
      <w:bookmarkEnd w:id="7"/>
      <w:r w:rsidRPr="00B94EF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B94EF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t>This field allows for different work environments and conditions that may affect performance. Essential operating conditions that may be present (depending on the wo</w:t>
            </w:r>
            <w:r w:rsidRPr="00B94EF0">
              <w:t>rk situation, accessibility of the item, and local industry and regional contexts) are included.</w:t>
            </w:r>
          </w:p>
        </w:tc>
      </w:tr>
      <w:tr w:rsidTr="00B94EF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ListBullet"/>
            </w:pPr>
            <w:r w:rsidRPr="00B94EF0">
              <w:t>brush</w:t>
            </w:r>
          </w:p>
          <w:p w:rsidR="00000000" w:rsidRPr="00B94EF0" w:rsidP="00B94EF0">
            <w:pPr>
              <w:pStyle w:val="ListBullet"/>
            </w:pPr>
            <w:r w:rsidRPr="00B94EF0">
              <w:t xml:space="preserve">roller </w:t>
            </w:r>
          </w:p>
          <w:p w:rsidR="00000000" w:rsidRPr="00B94EF0" w:rsidP="00B94EF0">
            <w:pPr>
              <w:pStyle w:val="ListBullet"/>
            </w:pPr>
            <w:r w:rsidRPr="00B94EF0">
              <w:t>conventional spray equipment</w:t>
            </w:r>
          </w:p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Specific health and safety matters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ListBullet"/>
            </w:pPr>
            <w:r w:rsidRPr="00B94EF0">
              <w:t>interpretation of safety data sheet (SDS) warnings</w:t>
            </w:r>
          </w:p>
          <w:p w:rsidR="00000000" w:rsidRPr="00B94EF0" w:rsidP="00B94EF0">
            <w:pPr>
              <w:pStyle w:val="ListBullet"/>
            </w:pPr>
            <w:r w:rsidRPr="00B94EF0">
              <w:t>materials sensitivity</w:t>
            </w:r>
          </w:p>
          <w:p w:rsidR="00000000" w:rsidRPr="00B94EF0" w:rsidP="00B94EF0">
            <w:pPr>
              <w:pStyle w:val="ListBullet"/>
            </w:pPr>
            <w:r w:rsidRPr="00B94EF0">
              <w:t>hazardous goods</w:t>
            </w:r>
          </w:p>
          <w:p w:rsidR="00000000" w:rsidRPr="00B94EF0" w:rsidP="00B94EF0">
            <w:pPr>
              <w:pStyle w:val="ListBullet"/>
            </w:pPr>
            <w:r w:rsidRPr="00B94EF0">
              <w:t xml:space="preserve">breathable air </w:t>
            </w:r>
          </w:p>
          <w:p w:rsidR="00000000" w:rsidRPr="00B94EF0" w:rsidP="00B94EF0">
            <w:pPr>
              <w:pStyle w:val="ListBullet"/>
            </w:pPr>
            <w:r w:rsidRPr="00B94EF0">
              <w:t>introduction of compressed air into the body</w:t>
            </w:r>
          </w:p>
          <w:p w:rsidR="00000000" w:rsidP="00B94EF0">
            <w:pPr>
              <w:pStyle w:val="BodyText"/>
              <w:rPr>
                <w:lang w:val="en-NZ"/>
              </w:rPr>
            </w:pPr>
          </w:p>
        </w:tc>
      </w:tr>
      <w:tr w:rsidTr="00B94EF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F0">
            <w:pPr>
              <w:pStyle w:val="BodyText"/>
              <w:rPr>
                <w:lang w:val="en-NZ"/>
              </w:rPr>
            </w:pPr>
            <w:r w:rsidRPr="00B94EF0">
              <w:rPr>
                <w:rStyle w:val="SpecialBold"/>
              </w:rPr>
              <w:t>PPE includes one (1) or mo</w:t>
            </w:r>
            <w:r w:rsidRPr="00B94EF0">
              <w:rPr>
                <w:rStyle w:val="SpecialBold"/>
              </w:rPr>
              <w:t>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F0" w:rsidP="00B94EF0">
            <w:pPr>
              <w:pStyle w:val="ListBullet"/>
            </w:pPr>
            <w:r w:rsidRPr="00B94EF0">
              <w:t>hand protection</w:t>
            </w:r>
          </w:p>
          <w:p w:rsidR="00000000" w:rsidRPr="00B94EF0" w:rsidP="00B94EF0">
            <w:pPr>
              <w:pStyle w:val="ListBullet"/>
            </w:pPr>
            <w:r w:rsidRPr="00B94EF0">
              <w:t>full body protection</w:t>
            </w:r>
          </w:p>
          <w:p w:rsidR="00000000" w:rsidRPr="00B94EF0" w:rsidP="00B94EF0">
            <w:pPr>
              <w:pStyle w:val="ListBullet"/>
            </w:pPr>
            <w:r w:rsidRPr="00B94EF0">
              <w:t>respirators</w:t>
            </w:r>
          </w:p>
          <w:p w:rsidR="00000000" w:rsidRPr="00B94EF0" w:rsidP="00B94EF0">
            <w:pPr>
              <w:pStyle w:val="ListBullet"/>
            </w:pPr>
            <w:r w:rsidRPr="00B94EF0">
              <w:t>air fed hoods and foot protection</w:t>
            </w:r>
          </w:p>
          <w:p w:rsidR="00000000" w:rsidRPr="00B94EF0" w:rsidP="00B94EF0">
            <w:pPr>
              <w:pStyle w:val="ListBullet"/>
            </w:pPr>
            <w:r w:rsidRPr="00B94EF0">
              <w:t xml:space="preserve">noise and heat protection </w:t>
            </w:r>
          </w:p>
          <w:p w:rsidR="00000000" w:rsidRPr="00B94EF0" w:rsidP="00B94EF0">
            <w:pPr>
              <w:pStyle w:val="BodyText"/>
            </w:pPr>
          </w:p>
        </w:tc>
      </w:tr>
    </w:tbl>
    <w:p w:rsidR="00000000" w:rsidRPr="00B94EF0" w:rsidP="00B94EF0">
      <w:pPr>
        <w:pStyle w:val="BodyText"/>
      </w:pPr>
    </w:p>
    <w:p w:rsidR="00000000" w:rsidRPr="00B94EF0" w:rsidP="00B94EF0">
      <w:pPr>
        <w:pStyle w:val="AllowPageBreak"/>
      </w:pPr>
    </w:p>
    <w:p w:rsidR="00000000" w:rsidRPr="00B94EF0" w:rsidP="00B94EF0">
      <w:pPr>
        <w:pStyle w:val="Heading1"/>
      </w:pPr>
      <w:bookmarkStart w:id="8" w:name="O_948160"/>
      <w:bookmarkEnd w:id="8"/>
      <w:r w:rsidRPr="00B94EF0">
        <w:t>Unit Mapping Information</w:t>
      </w:r>
    </w:p>
    <w:p w:rsidR="00000000" w:rsidRPr="00B94EF0" w:rsidP="00E63BEA">
      <w:pPr>
        <w:pStyle w:val="BodyText"/>
      </w:pPr>
      <w:r w:rsidRPr="00B94EF0">
        <w:t>Release 1. Supersedes and is equivalent to ME</w:t>
      </w:r>
      <w:r w:rsidRPr="00B94EF0">
        <w:t>M08014B Apply protective coatings (basic)</w:t>
      </w:r>
    </w:p>
    <w:p w:rsidR="00000000" w:rsidRPr="00B94EF0" w:rsidP="00B94EF0">
      <w:pPr>
        <w:pStyle w:val="Heading1"/>
      </w:pPr>
      <w:bookmarkStart w:id="9" w:name="O_948153"/>
      <w:bookmarkEnd w:id="9"/>
      <w:r w:rsidRPr="00B94EF0">
        <w:t>Links</w:t>
      </w:r>
    </w:p>
    <w:p w:rsidR="00000000" w:rsidRPr="00B94EF0" w:rsidP="00E63BEA">
      <w:pPr>
        <w:pStyle w:val="BodyText"/>
      </w:pPr>
      <w:r w:rsidRPr="00B94E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45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4EF0" w:rsidP="00B94EF0"/>
    <w:sectPr w:rsidSect="00B94E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F0" w:rsidRPr="00E63BEA" w:rsidP="00E63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EA" w:rsidP="00B94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BEA" w:rsidP="00B94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3BEA" w:rsidP="00B94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EF0" w:rsidRPr="00E63BEA" w:rsidP="00E63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EA" w:rsidRPr="002D2AF8" w:rsidP="00B94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MEM08014 Apply protective coatings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3BEA" w:rsidP="00B94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9A7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CC7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EF0"/>
  </w:style>
  <w:style w:type="character" w:customStyle="1" w:styleId="Heading1Char">
    <w:name w:val="Heading 1 Char"/>
    <w:basedOn w:val="DefaultParagraphFont"/>
    <w:link w:val="Heading1"/>
    <w:rsid w:val="00B94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E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EF0"/>
    <w:rPr>
      <w:b/>
      <w:spacing w:val="0"/>
    </w:rPr>
  </w:style>
  <w:style w:type="paragraph" w:customStyle="1" w:styleId="SuperHeading">
    <w:name w:val="SuperHeading"/>
    <w:basedOn w:val="Normal"/>
    <w:rsid w:val="00B94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E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EF0"/>
    <w:rPr>
      <w:i/>
    </w:rPr>
  </w:style>
  <w:style w:type="paragraph" w:styleId="Caption">
    <w:name w:val="caption"/>
    <w:basedOn w:val="BodyText"/>
    <w:next w:val="Normal"/>
    <w:qFormat/>
    <w:rsid w:val="00B94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EF0"/>
  </w:style>
  <w:style w:type="paragraph" w:styleId="TableofFigures">
    <w:name w:val="table of figures"/>
    <w:basedOn w:val="Normal"/>
    <w:next w:val="Normal"/>
    <w:semiHidden/>
    <w:rsid w:val="00B94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EF0"/>
    <w:rPr>
      <w:rFonts w:ascii="Wingdings" w:hAnsi="Wingdings"/>
    </w:rPr>
  </w:style>
  <w:style w:type="paragraph" w:customStyle="1" w:styleId="TableHeading">
    <w:name w:val="Table Heading"/>
    <w:basedOn w:val="HeadingBase"/>
    <w:rsid w:val="00B94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EF0"/>
    <w:rPr>
      <w:color w:val="0033CC"/>
      <w:u w:val="none"/>
    </w:rPr>
  </w:style>
  <w:style w:type="paragraph" w:customStyle="1" w:styleId="BodyTextRight">
    <w:name w:val="Body Text Right"/>
    <w:basedOn w:val="BodyText"/>
    <w:rsid w:val="00B94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EF0"/>
    <w:rPr>
      <w:sz w:val="32"/>
    </w:rPr>
  </w:style>
  <w:style w:type="paragraph" w:customStyle="1" w:styleId="HeadingProcedure">
    <w:name w:val="Heading Procedure"/>
    <w:basedOn w:val="HeadingBase"/>
    <w:next w:val="Normal"/>
    <w:rsid w:val="00B94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EF0"/>
    <w:pPr>
      <w:spacing w:before="60" w:after="60"/>
    </w:pPr>
  </w:style>
  <w:style w:type="paragraph" w:styleId="ListContinue">
    <w:name w:val="List Continue"/>
    <w:basedOn w:val="List"/>
    <w:rsid w:val="00B94EF0"/>
    <w:pPr>
      <w:ind w:firstLine="0"/>
    </w:pPr>
  </w:style>
  <w:style w:type="paragraph" w:customStyle="1" w:styleId="ListNote">
    <w:name w:val="List Note"/>
    <w:basedOn w:val="List"/>
    <w:rsid w:val="00B94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EF0"/>
    <w:rPr>
      <w:rFonts w:ascii="Courier New" w:hAnsi="Courier New"/>
    </w:rPr>
  </w:style>
  <w:style w:type="paragraph" w:customStyle="1" w:styleId="NoteBullet">
    <w:name w:val="Note Bullet"/>
    <w:basedOn w:val="Note"/>
    <w:rsid w:val="00B94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EF0"/>
    <w:rPr>
      <w:b/>
      <w:smallCaps/>
    </w:rPr>
  </w:style>
  <w:style w:type="paragraph" w:customStyle="1" w:styleId="TableListNumber">
    <w:name w:val="Table List Number"/>
    <w:basedOn w:val="ListNumber"/>
    <w:rsid w:val="00B94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EF0"/>
    <w:pPr>
      <w:numPr>
        <w:numId w:val="8"/>
      </w:numPr>
    </w:pPr>
  </w:style>
  <w:style w:type="paragraph" w:customStyle="1" w:styleId="ListAlpha2">
    <w:name w:val="List Alpha 2"/>
    <w:basedOn w:val="List2"/>
    <w:rsid w:val="00B94EF0"/>
    <w:pPr>
      <w:numPr>
        <w:numId w:val="7"/>
      </w:numPr>
    </w:pPr>
  </w:style>
  <w:style w:type="paragraph" w:styleId="List2">
    <w:name w:val="List 2"/>
    <w:basedOn w:val="BodyText"/>
    <w:rsid w:val="00B94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EF0"/>
    <w:pPr>
      <w:numPr>
        <w:numId w:val="3"/>
      </w:numPr>
    </w:pPr>
  </w:style>
  <w:style w:type="paragraph" w:styleId="ListContinue2">
    <w:name w:val="List Continue 2"/>
    <w:basedOn w:val="List2"/>
    <w:rsid w:val="00B94EF0"/>
    <w:pPr>
      <w:ind w:firstLine="0"/>
    </w:pPr>
  </w:style>
  <w:style w:type="paragraph" w:styleId="ListContinue3">
    <w:name w:val="List Continue 3"/>
    <w:basedOn w:val="List3"/>
    <w:rsid w:val="00B94EF0"/>
    <w:pPr>
      <w:ind w:left="1021" w:firstLine="0"/>
    </w:pPr>
  </w:style>
  <w:style w:type="paragraph" w:styleId="ListContinue4">
    <w:name w:val="List Continue 4"/>
    <w:basedOn w:val="List4"/>
    <w:rsid w:val="00B94EF0"/>
    <w:pPr>
      <w:ind w:firstLine="0"/>
    </w:pPr>
  </w:style>
  <w:style w:type="paragraph" w:styleId="ListContinue5">
    <w:name w:val="List Continue 5"/>
    <w:basedOn w:val="List5"/>
    <w:rsid w:val="00B94EF0"/>
    <w:pPr>
      <w:ind w:firstLine="0"/>
    </w:pPr>
  </w:style>
  <w:style w:type="paragraph" w:styleId="ListNumber3">
    <w:name w:val="List Number 3"/>
    <w:basedOn w:val="List3"/>
    <w:rsid w:val="00B94EF0"/>
    <w:pPr>
      <w:numPr>
        <w:numId w:val="4"/>
      </w:numPr>
    </w:pPr>
  </w:style>
  <w:style w:type="paragraph" w:styleId="ListNumber4">
    <w:name w:val="List Number 4"/>
    <w:basedOn w:val="List4"/>
    <w:rsid w:val="00B94EF0"/>
    <w:pPr>
      <w:numPr>
        <w:numId w:val="5"/>
      </w:numPr>
    </w:pPr>
  </w:style>
  <w:style w:type="paragraph" w:styleId="ListNumber5">
    <w:name w:val="List Number 5"/>
    <w:basedOn w:val="List5"/>
    <w:rsid w:val="00B94EF0"/>
    <w:pPr>
      <w:numPr>
        <w:numId w:val="6"/>
      </w:numPr>
    </w:pPr>
  </w:style>
  <w:style w:type="paragraph" w:styleId="BlockText">
    <w:name w:val="Block Text"/>
    <w:basedOn w:val="Normal"/>
    <w:rsid w:val="00B94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EF0"/>
    <w:rPr>
      <w:sz w:val="16"/>
      <w:vertAlign w:val="superscript"/>
    </w:rPr>
  </w:style>
  <w:style w:type="character" w:customStyle="1" w:styleId="Symbols">
    <w:name w:val="Symbols"/>
    <w:basedOn w:val="DefaultParagraphFont"/>
    <w:rsid w:val="00B94EF0"/>
    <w:rPr>
      <w:rFonts w:ascii="Symbol" w:hAnsi="Symbol"/>
    </w:rPr>
  </w:style>
  <w:style w:type="character" w:customStyle="1" w:styleId="MenuOptions">
    <w:name w:val="Menu Options"/>
    <w:basedOn w:val="DefaultParagraphFont"/>
    <w:rsid w:val="00B94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EF0"/>
    <w:rPr>
      <w:b/>
    </w:rPr>
  </w:style>
  <w:style w:type="character" w:customStyle="1" w:styleId="Underlined">
    <w:name w:val="Underlined"/>
    <w:basedOn w:val="DefaultParagraphFont"/>
    <w:rsid w:val="00B94EF0"/>
    <w:rPr>
      <w:u w:val="single"/>
    </w:rPr>
  </w:style>
  <w:style w:type="paragraph" w:customStyle="1" w:styleId="TableBodyTextRight">
    <w:name w:val="Table Body Text Right"/>
    <w:basedOn w:val="TableBodyText"/>
    <w:rsid w:val="00B94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EF0"/>
    <w:rPr>
      <w:sz w:val="18"/>
    </w:rPr>
  </w:style>
  <w:style w:type="paragraph" w:customStyle="1" w:styleId="BodySmallRight">
    <w:name w:val="Body Small Right"/>
    <w:basedOn w:val="BodyTextRight"/>
    <w:rsid w:val="00B94EF0"/>
    <w:rPr>
      <w:sz w:val="18"/>
      <w:szCs w:val="18"/>
    </w:rPr>
  </w:style>
  <w:style w:type="paragraph" w:customStyle="1" w:styleId="MarginEdition">
    <w:name w:val="Margin Edition"/>
    <w:basedOn w:val="MarginNote"/>
    <w:rsid w:val="00B94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EF0"/>
    <w:rPr>
      <w:sz w:val="2"/>
      <w:szCs w:val="2"/>
    </w:rPr>
  </w:style>
  <w:style w:type="character" w:customStyle="1" w:styleId="Small">
    <w:name w:val="Small"/>
    <w:basedOn w:val="DefaultParagraphFont"/>
    <w:rsid w:val="00B94EF0"/>
    <w:rPr>
      <w:sz w:val="16"/>
    </w:rPr>
  </w:style>
  <w:style w:type="paragraph" w:customStyle="1" w:styleId="WideTable">
    <w:name w:val="Wide Table"/>
    <w:basedOn w:val="Normal"/>
    <w:rsid w:val="00B94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EF0"/>
  </w:style>
  <w:style w:type="paragraph" w:styleId="Quote">
    <w:name w:val="Quote"/>
    <w:basedOn w:val="Heading1"/>
    <w:link w:val="QuoteChar"/>
    <w:qFormat/>
    <w:rsid w:val="00B94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EF0"/>
    <w:pPr>
      <w:pageBreakBefore/>
    </w:pPr>
  </w:style>
  <w:style w:type="paragraph" w:customStyle="1" w:styleId="Border">
    <w:name w:val="Border"/>
    <w:basedOn w:val="Normal"/>
    <w:qFormat/>
    <w:rsid w:val="00B94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EF0"/>
    <w:rPr>
      <w:u w:val="single"/>
    </w:rPr>
  </w:style>
  <w:style w:type="character" w:customStyle="1" w:styleId="BoldandItalics">
    <w:name w:val="Bold and Italics"/>
    <w:qFormat/>
    <w:rsid w:val="00B94EF0"/>
    <w:rPr>
      <w:b/>
      <w:i/>
      <w:u w:val="none"/>
    </w:rPr>
  </w:style>
  <w:style w:type="paragraph" w:styleId="BalloonText">
    <w:name w:val="Balloon Text"/>
    <w:basedOn w:val="Normal"/>
    <w:link w:val="BalloonTextChar"/>
    <w:rsid w:val="00B94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EF0"/>
    <w:pPr>
      <w:spacing w:before="0" w:after="0"/>
    </w:pPr>
  </w:style>
  <w:style w:type="paragraph" w:customStyle="1" w:styleId="BodyTextBold">
    <w:name w:val="Body Text Bold"/>
    <w:basedOn w:val="BodyText"/>
    <w:qFormat/>
    <w:rsid w:val="00B94EF0"/>
    <w:rPr>
      <w:b/>
    </w:rPr>
  </w:style>
  <w:style w:type="character" w:styleId="Hyperlink">
    <w:name w:val="Hyperlink"/>
    <w:basedOn w:val="DefaultParagraphFont"/>
    <w:uiPriority w:val="99"/>
    <w:unhideWhenUsed/>
    <w:rsid w:val="00E63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5442</Characters>
  <Application>Microsoft Office Word</Application>
  <DocSecurity>0</DocSecurity>
  <Lines>286</Lines>
  <Paragraphs>153</Paragraphs>
  <ScaleCrop>false</ScaleCrop>
  <Company>Author-it Software Corporation Ltd.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MEM08014 Apply protective coatings (basic)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