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52383" w:rsidP="00B5238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MEM08012 Prepare surfaces by abrasive blasting (basic)</w:t>
      </w:r>
      <w:r>
        <w:fldChar w:fldCharType="end"/>
      </w:r>
    </w:p>
    <w:p w:rsidR="00B52383" w:rsidP="00B52383">
      <w:pPr>
        <w:pStyle w:val="Version"/>
        <w:sectPr w:rsidSect="00C125A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125A8" w:rsidP="00C125A8">
      <w:pPr>
        <w:pStyle w:val="SuperHeading"/>
      </w:pPr>
      <w:r w:rsidRPr="00C125A8">
        <w:t>Assessment Requirements for MEM08012 Prepare surfaces by abrasive blasting (basic)</w:t>
      </w:r>
    </w:p>
    <w:p w:rsidR="00000000" w:rsidRPr="00C125A8" w:rsidP="00C125A8">
      <w:pPr>
        <w:pStyle w:val="Heading1"/>
      </w:pPr>
      <w:bookmarkStart w:id="1" w:name="O_948117"/>
      <w:bookmarkEnd w:id="1"/>
      <w:r w:rsidRPr="00C125A8">
        <w:t>Modification History</w:t>
      </w:r>
    </w:p>
    <w:p w:rsidR="00000000" w:rsidRPr="00C125A8" w:rsidP="00B52383">
      <w:pPr>
        <w:pStyle w:val="BodyText"/>
      </w:pPr>
      <w:r w:rsidRPr="00C125A8">
        <w:t xml:space="preserve">Release 1. Supersedes and is equivalent to MEM08012B Prepare surfaces by abrasive blasting (basic) </w:t>
      </w:r>
    </w:p>
    <w:p w:rsidR="00000000" w:rsidRPr="00C125A8" w:rsidP="00C125A8">
      <w:pPr>
        <w:pStyle w:val="Heading1"/>
      </w:pPr>
      <w:bookmarkStart w:id="2" w:name="O_948120"/>
      <w:bookmarkEnd w:id="2"/>
      <w:r w:rsidRPr="00C125A8">
        <w:t>Performance Evidence</w:t>
      </w:r>
    </w:p>
    <w:p w:rsidR="00000000" w:rsidRPr="00C125A8" w:rsidP="00B52383">
      <w:pPr>
        <w:pStyle w:val="BodyText"/>
      </w:pPr>
      <w:r w:rsidRPr="00C125A8">
        <w:t>Evidence required to demonstrate competence in this unit must be relevant to and satisfy the requirements of the elements and performance criteria on at least two (2) occasions and include:</w:t>
      </w:r>
    </w:p>
    <w:p w:rsidR="00000000" w:rsidRPr="00C125A8" w:rsidP="00C125A8">
      <w:pPr>
        <w:pStyle w:val="ListBullet"/>
      </w:pPr>
      <w:r w:rsidRPr="00C125A8">
        <w:t>following work instructions, standard operat</w:t>
      </w:r>
      <w:r w:rsidRPr="00C125A8">
        <w:t xml:space="preserve">ing procedures (SOPs) and safe work practices </w:t>
      </w:r>
    </w:p>
    <w:p w:rsidR="00000000" w:rsidRPr="00C125A8" w:rsidP="00C125A8">
      <w:pPr>
        <w:pStyle w:val="ListBullet"/>
      </w:pPr>
      <w:r w:rsidRPr="00C125A8">
        <w:t>identifying and interpreting specifications, supplier information, and Australian and international standards for abrasive blasting</w:t>
      </w:r>
    </w:p>
    <w:p w:rsidR="00000000" w:rsidRPr="00C125A8" w:rsidP="00C125A8">
      <w:pPr>
        <w:pStyle w:val="ListBullet"/>
      </w:pPr>
      <w:r w:rsidRPr="00C125A8">
        <w:t xml:space="preserve">preparing surfaces by abrasive blasting </w:t>
      </w:r>
    </w:p>
    <w:p w:rsidR="00000000" w:rsidRPr="00C125A8" w:rsidP="00C125A8">
      <w:pPr>
        <w:pStyle w:val="ListBullet"/>
      </w:pPr>
      <w:r w:rsidRPr="00C125A8">
        <w:t>setting up, using and maintaining su</w:t>
      </w:r>
      <w:r w:rsidRPr="00C125A8">
        <w:t>rface blasting equipment safely and effectively, reporting any faults</w:t>
      </w:r>
    </w:p>
    <w:p w:rsidR="00000000" w:rsidRPr="00C125A8" w:rsidP="00C125A8">
      <w:pPr>
        <w:pStyle w:val="ListBullet"/>
      </w:pPr>
      <w:r w:rsidRPr="00C125A8">
        <w:t xml:space="preserve">using the correct media for the blasting operation and preparing surfaces </w:t>
      </w:r>
    </w:p>
    <w:p w:rsidR="00000000" w:rsidRPr="00C125A8" w:rsidP="00C125A8">
      <w:pPr>
        <w:pStyle w:val="ListBullet"/>
      </w:pPr>
      <w:r w:rsidRPr="00C125A8">
        <w:t>demonstrating emergency shutdown procedures</w:t>
      </w:r>
    </w:p>
    <w:p w:rsidR="00000000" w:rsidRPr="00C125A8" w:rsidP="00C125A8">
      <w:pPr>
        <w:pStyle w:val="ListBullet"/>
      </w:pPr>
      <w:r w:rsidRPr="00C125A8">
        <w:t>disposing of abrasive media in accordance with regulatory and legis</w:t>
      </w:r>
      <w:r w:rsidRPr="00C125A8">
        <w:t>lative requirements</w:t>
      </w:r>
    </w:p>
    <w:p w:rsidR="00000000" w:rsidRPr="00C125A8" w:rsidP="00C125A8">
      <w:pPr>
        <w:pStyle w:val="ListBullet"/>
      </w:pPr>
      <w:r w:rsidRPr="00C125A8">
        <w:t>inspecting to ensure the prepared surface meets specifications and rectifying any non-conformance, as necessary.</w:t>
      </w:r>
    </w:p>
    <w:p w:rsidR="00000000" w:rsidRPr="00C125A8" w:rsidP="00C125A8">
      <w:pPr>
        <w:pStyle w:val="AllowPageBreak"/>
      </w:pPr>
    </w:p>
    <w:p w:rsidR="00000000" w:rsidRPr="00C125A8" w:rsidP="00C125A8">
      <w:pPr>
        <w:pStyle w:val="Heading1"/>
      </w:pPr>
      <w:bookmarkStart w:id="3" w:name="O_948119"/>
      <w:bookmarkEnd w:id="3"/>
      <w:r w:rsidRPr="00C125A8">
        <w:t>Knowledge Evidence</w:t>
      </w:r>
    </w:p>
    <w:p w:rsidR="00000000" w:rsidRPr="00C125A8" w:rsidP="00B52383">
      <w:pPr>
        <w:pStyle w:val="BodyText"/>
      </w:pPr>
      <w:r w:rsidRPr="00C125A8">
        <w:t xml:space="preserve">Evidence required to demonstrate the required knowledge for this unit must be relevant </w:t>
      </w:r>
      <w:r w:rsidRPr="00C125A8">
        <w:t>to and satisfy the requirements of the elements and performance criteria and include knowledge of:</w:t>
      </w:r>
    </w:p>
    <w:p w:rsidR="00000000" w:rsidRPr="00C125A8" w:rsidP="00C125A8">
      <w:pPr>
        <w:pStyle w:val="ListBullet"/>
      </w:pPr>
      <w:r w:rsidRPr="00C125A8">
        <w:t>safe work practices and procedures and use of personal protective equipment (PPE)</w:t>
      </w:r>
    </w:p>
    <w:p w:rsidR="00000000" w:rsidRPr="00C125A8" w:rsidP="00C125A8">
      <w:pPr>
        <w:pStyle w:val="ListBullet"/>
      </w:pPr>
      <w:r w:rsidRPr="00C125A8">
        <w:t>reason for selecting the chosen sequence of operations</w:t>
      </w:r>
    </w:p>
    <w:p w:rsidR="00000000" w:rsidRPr="00C125A8" w:rsidP="00C125A8">
      <w:pPr>
        <w:pStyle w:val="ListBullet"/>
      </w:pPr>
      <w:r w:rsidRPr="00C125A8">
        <w:t xml:space="preserve">blasting equipment </w:t>
      </w:r>
      <w:r w:rsidRPr="00C125A8">
        <w:t xml:space="preserve">and media required for various surface preparation methods </w:t>
      </w:r>
    </w:p>
    <w:p w:rsidR="00000000" w:rsidRPr="00C125A8" w:rsidP="00C125A8">
      <w:pPr>
        <w:pStyle w:val="ListBullet"/>
      </w:pPr>
      <w:r w:rsidRPr="00C125A8">
        <w:t>importance of using an appropriate rust inhibitor</w:t>
      </w:r>
    </w:p>
    <w:p w:rsidR="00000000" w:rsidRPr="00C125A8" w:rsidP="00C125A8">
      <w:pPr>
        <w:pStyle w:val="ListBullet"/>
      </w:pPr>
      <w:r w:rsidRPr="00C125A8">
        <w:t xml:space="preserve">process for undertaking pre-operational checks and procedures or using abrasive blasting equipment </w:t>
      </w:r>
    </w:p>
    <w:p w:rsidR="00000000" w:rsidRPr="00C125A8" w:rsidP="00C125A8">
      <w:pPr>
        <w:pStyle w:val="ListBullet"/>
      </w:pPr>
      <w:r w:rsidRPr="00C125A8">
        <w:t>reasons for an emergency shutdown</w:t>
      </w:r>
    </w:p>
    <w:p w:rsidR="00000000" w:rsidRPr="00C125A8" w:rsidP="00C125A8">
      <w:pPr>
        <w:pStyle w:val="ListBullet"/>
      </w:pPr>
      <w:r w:rsidRPr="00C125A8">
        <w:t>emergency shutdown procedures</w:t>
      </w:r>
    </w:p>
    <w:p w:rsidR="00000000" w:rsidRPr="00C125A8" w:rsidP="00C125A8">
      <w:pPr>
        <w:pStyle w:val="ListBullet"/>
      </w:pPr>
      <w:r w:rsidRPr="00C125A8">
        <w:t xml:space="preserve">procedures for abrasive media disposal to meet environmental regulations </w:t>
      </w:r>
    </w:p>
    <w:p w:rsidR="00000000" w:rsidRPr="00C125A8" w:rsidP="00C125A8">
      <w:pPr>
        <w:pStyle w:val="ListBullet"/>
      </w:pPr>
      <w:r w:rsidRPr="00C125A8">
        <w:t>procedures for maintaining and storing blasting equipment and recording/reporting procedures for any faulty equipment</w:t>
      </w:r>
    </w:p>
    <w:p w:rsidR="00000000" w:rsidRPr="00C125A8" w:rsidP="00C125A8">
      <w:pPr>
        <w:pStyle w:val="ListBullet"/>
      </w:pPr>
      <w:r w:rsidRPr="00C125A8">
        <w:t>techniques for checking prepared s</w:t>
      </w:r>
      <w:r w:rsidRPr="00C125A8">
        <w:t>urfaces and rectification techniques, as required.</w:t>
      </w:r>
    </w:p>
    <w:p w:rsidR="00000000" w:rsidRPr="00C125A8" w:rsidP="00C125A8">
      <w:pPr>
        <w:pStyle w:val="AllowPageBreak"/>
      </w:pPr>
    </w:p>
    <w:p w:rsidR="00000000" w:rsidRPr="00C125A8" w:rsidP="00C125A8">
      <w:pPr>
        <w:pStyle w:val="Heading1"/>
      </w:pPr>
      <w:bookmarkStart w:id="4" w:name="O_948118"/>
      <w:bookmarkEnd w:id="4"/>
      <w:r w:rsidRPr="00C125A8">
        <w:t>Assessment Conditions</w:t>
      </w:r>
    </w:p>
    <w:p w:rsidR="00000000" w:rsidRPr="00C125A8" w:rsidP="00C125A8">
      <w:pPr>
        <w:pStyle w:val="ListBullet"/>
      </w:pPr>
      <w:r w:rsidRPr="00C125A8">
        <w:t>Assessors must:</w:t>
      </w:r>
    </w:p>
    <w:p w:rsidR="00000000" w:rsidRPr="00C125A8" w:rsidP="00C125A8">
      <w:pPr>
        <w:pStyle w:val="ListBullet2"/>
      </w:pPr>
      <w:r w:rsidRPr="00C125A8">
        <w:t xml:space="preserve">have vocational competency in preparing surfaces by abrasive blasting (basic) at least to the level being assessed with relevant industry knowledge </w:t>
      </w:r>
      <w:r w:rsidRPr="00C125A8">
        <w:t>and experience</w:t>
      </w:r>
    </w:p>
    <w:p w:rsidR="00000000" w:rsidRPr="00C125A8" w:rsidP="00C125A8">
      <w:pPr>
        <w:pStyle w:val="ListBullet2"/>
      </w:pPr>
      <w:r w:rsidRPr="00C125A8">
        <w:t xml:space="preserve">satisfy the assessor requirements in the </w:t>
      </w:r>
      <w:r w:rsidRPr="00C125A8">
        <w:rPr>
          <w:rStyle w:val="Emphasis"/>
        </w:rPr>
        <w:t xml:space="preserve">Standards for Registered Training Organisations 2015 </w:t>
      </w:r>
      <w:r w:rsidRPr="00C125A8">
        <w:t>or its replacement</w:t>
      </w:r>
      <w:r w:rsidRPr="00C125A8">
        <w:rPr>
          <w:rStyle w:val="Emphasis"/>
        </w:rPr>
        <w:t xml:space="preserve"> </w:t>
      </w:r>
      <w:r w:rsidRPr="00C125A8">
        <w:t xml:space="preserve">and comply with the </w:t>
      </w:r>
      <w:r w:rsidRPr="00C125A8">
        <w:rPr>
          <w:rStyle w:val="Emphasis"/>
        </w:rPr>
        <w:t xml:space="preserve">National Vocational Education and Training Regulator Act 2011, </w:t>
      </w:r>
      <w:r w:rsidRPr="00C125A8">
        <w:t>its replacement</w:t>
      </w:r>
      <w:r w:rsidRPr="00C125A8">
        <w:rPr>
          <w:rStyle w:val="Emphasis"/>
        </w:rPr>
        <w:t xml:space="preserve"> </w:t>
      </w:r>
      <w:r w:rsidRPr="00C125A8">
        <w:t>or equivalent legislation cov</w:t>
      </w:r>
      <w:r w:rsidRPr="00C125A8">
        <w:t>ering VET regulation in a non-referring state/territory as the case requires</w:t>
      </w:r>
    </w:p>
    <w:p w:rsidR="00000000" w:rsidRPr="00C125A8" w:rsidP="00C125A8">
      <w:pPr>
        <w:pStyle w:val="ListBullet"/>
      </w:pPr>
      <w:r w:rsidRPr="00C125A8">
        <w:t>Where possible assessment must occur in operational workplace situations. Where this is not possible or where personal safety or environmental damage are limiting factors, assess</w:t>
      </w:r>
      <w:r w:rsidRPr="00C125A8">
        <w:t>ment must occur in a sufficiently rigorous simulated environment that reflects realistic operational workplace conditions. This must cover all aspects of workplace performance, including environment, task skills, task management skills, contingency managem</w:t>
      </w:r>
      <w:r w:rsidRPr="00C125A8">
        <w:t>ent skills and job role environment skills</w:t>
      </w:r>
    </w:p>
    <w:p w:rsidR="00000000" w:rsidRPr="00C125A8" w:rsidP="00C125A8">
      <w:pPr>
        <w:pStyle w:val="ListBullet"/>
      </w:pPr>
      <w:r w:rsidRPr="00C125A8">
        <w:t>Conditions for assessment must include access to all tools, equipment, materials and documentation required, including relevant workplace procedures, product and manufacturing specifications</w:t>
      </w:r>
    </w:p>
    <w:p w:rsidR="00000000" w:rsidRPr="00C125A8" w:rsidP="00C125A8">
      <w:pPr>
        <w:pStyle w:val="ListBullet"/>
      </w:pPr>
      <w:r w:rsidRPr="00C125A8">
        <w:t>Assessment processes a</w:t>
      </w:r>
      <w:r w:rsidRPr="00C125A8">
        <w:t>nd techniques must be appropriate to the language, literacy and numeracy requirements of the work being performed and the needs of the candidate.</w:t>
      </w:r>
    </w:p>
    <w:p w:rsidR="00000000" w:rsidRPr="00C125A8" w:rsidP="00C125A8">
      <w:pPr>
        <w:pStyle w:val="AllowPageBreak"/>
      </w:pPr>
    </w:p>
    <w:p w:rsidR="00000000" w:rsidRPr="00C125A8" w:rsidP="00C125A8">
      <w:pPr>
        <w:pStyle w:val="Heading1"/>
      </w:pPr>
      <w:bookmarkStart w:id="5" w:name="O_948116"/>
      <w:bookmarkEnd w:id="5"/>
      <w:r w:rsidRPr="00C125A8">
        <w:t>Links</w:t>
      </w:r>
    </w:p>
    <w:p w:rsidR="00000000" w:rsidRPr="00C125A8" w:rsidP="00B52383">
      <w:pPr>
        <w:pStyle w:val="BodyText"/>
      </w:pPr>
      <w:r w:rsidRPr="00C125A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F64BEE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C125A8" w:rsidP="00C125A8"/>
    <w:sectPr w:rsidSect="00C125A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25A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25A8" w:rsidRPr="00B52383" w:rsidP="00B5238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25A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2383" w:rsidP="00C125A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52383" w:rsidP="00C125A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B52383" w:rsidP="00C125A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25A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238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125A8" w:rsidRPr="00B52383" w:rsidP="00B5238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25A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2383" w:rsidRPr="002D2AF8" w:rsidP="00C125A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MEM08012 Prepare surfaces by abrasive blasting (basic)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B52383" w:rsidP="00C125A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E1AE1A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DB8F8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95CDDD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25A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125A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125A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125A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125A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125A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125A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125A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125A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125A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125A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125A8"/>
  </w:style>
  <w:style w:type="character" w:customStyle="1" w:styleId="Heading1Char">
    <w:name w:val="Heading 1 Char"/>
    <w:basedOn w:val="DefaultParagraphFont"/>
    <w:link w:val="Heading1"/>
    <w:rsid w:val="00C125A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125A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125A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125A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125A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125A8"/>
    <w:rPr>
      <w:i/>
    </w:rPr>
  </w:style>
  <w:style w:type="paragraph" w:customStyle="1" w:styleId="SuperHeading">
    <w:name w:val="SuperHeading"/>
    <w:basedOn w:val="Normal"/>
    <w:rsid w:val="00C125A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125A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125A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125A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125A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125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125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125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125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125A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125A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125A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125A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125A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125A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125A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125A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125A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125A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125A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125A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125A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125A8"/>
    <w:rPr>
      <w:b/>
      <w:spacing w:val="0"/>
    </w:rPr>
  </w:style>
  <w:style w:type="paragraph" w:customStyle="1" w:styleId="SuperTitle">
    <w:name w:val="SuperTitle"/>
    <w:basedOn w:val="Title"/>
    <w:rsid w:val="00C125A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125A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125A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125A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125A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125A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125A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125A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125A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125A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125A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125A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125A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125A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125A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125A8"/>
  </w:style>
  <w:style w:type="paragraph" w:styleId="TableofFigures">
    <w:name w:val="table of figures"/>
    <w:basedOn w:val="Normal"/>
    <w:next w:val="Normal"/>
    <w:semiHidden/>
    <w:rsid w:val="00C125A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125A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125A8"/>
    <w:rPr>
      <w:rFonts w:ascii="Wingdings" w:hAnsi="Wingdings"/>
    </w:rPr>
  </w:style>
  <w:style w:type="paragraph" w:customStyle="1" w:styleId="TableHeading">
    <w:name w:val="Table Heading"/>
    <w:basedOn w:val="HeadingBase"/>
    <w:rsid w:val="00C125A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125A8"/>
    <w:rPr>
      <w:color w:val="0033CC"/>
      <w:u w:val="none"/>
    </w:rPr>
  </w:style>
  <w:style w:type="paragraph" w:customStyle="1" w:styleId="BodyTextRight">
    <w:name w:val="Body Text Right"/>
    <w:basedOn w:val="BodyText"/>
    <w:rsid w:val="00C125A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125A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125A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125A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125A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125A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125A8"/>
    <w:rPr>
      <w:sz w:val="32"/>
    </w:rPr>
  </w:style>
  <w:style w:type="paragraph" w:customStyle="1" w:styleId="HeadingProcedure">
    <w:name w:val="Heading Procedure"/>
    <w:basedOn w:val="HeadingBase"/>
    <w:next w:val="Normal"/>
    <w:rsid w:val="00C125A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125A8"/>
    <w:pPr>
      <w:spacing w:before="60" w:after="60"/>
    </w:pPr>
  </w:style>
  <w:style w:type="paragraph" w:styleId="ListContinue">
    <w:name w:val="List Continue"/>
    <w:basedOn w:val="List"/>
    <w:rsid w:val="00C125A8"/>
    <w:pPr>
      <w:ind w:firstLine="0"/>
    </w:pPr>
  </w:style>
  <w:style w:type="paragraph" w:customStyle="1" w:styleId="ListNote">
    <w:name w:val="List Note"/>
    <w:basedOn w:val="List"/>
    <w:rsid w:val="00C125A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125A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125A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125A8"/>
    <w:rPr>
      <w:rFonts w:ascii="Courier New" w:hAnsi="Courier New"/>
    </w:rPr>
  </w:style>
  <w:style w:type="paragraph" w:customStyle="1" w:styleId="NoteBullet">
    <w:name w:val="Note Bullet"/>
    <w:basedOn w:val="Note"/>
    <w:rsid w:val="00C125A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125A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125A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125A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125A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125A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125A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125A8"/>
    <w:rPr>
      <w:b/>
      <w:smallCaps/>
    </w:rPr>
  </w:style>
  <w:style w:type="paragraph" w:customStyle="1" w:styleId="TableListNumber">
    <w:name w:val="Table List Number"/>
    <w:basedOn w:val="ListNumber"/>
    <w:rsid w:val="00C125A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125A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125A8"/>
    <w:pPr>
      <w:numPr>
        <w:numId w:val="9"/>
      </w:numPr>
    </w:pPr>
  </w:style>
  <w:style w:type="paragraph" w:customStyle="1" w:styleId="ListAlpha2">
    <w:name w:val="List Alpha 2"/>
    <w:basedOn w:val="List2"/>
    <w:rsid w:val="00C125A8"/>
    <w:pPr>
      <w:numPr>
        <w:numId w:val="8"/>
      </w:numPr>
    </w:pPr>
  </w:style>
  <w:style w:type="paragraph" w:styleId="List2">
    <w:name w:val="List 2"/>
    <w:basedOn w:val="BodyText"/>
    <w:rsid w:val="00C125A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125A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125A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125A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125A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125A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125A8"/>
    <w:pPr>
      <w:numPr>
        <w:numId w:val="4"/>
      </w:numPr>
    </w:pPr>
  </w:style>
  <w:style w:type="paragraph" w:styleId="ListContinue2">
    <w:name w:val="List Continue 2"/>
    <w:basedOn w:val="List2"/>
    <w:rsid w:val="00C125A8"/>
    <w:pPr>
      <w:ind w:firstLine="0"/>
    </w:pPr>
  </w:style>
  <w:style w:type="paragraph" w:styleId="ListContinue3">
    <w:name w:val="List Continue 3"/>
    <w:basedOn w:val="List3"/>
    <w:rsid w:val="00C125A8"/>
    <w:pPr>
      <w:ind w:left="1021" w:firstLine="0"/>
    </w:pPr>
  </w:style>
  <w:style w:type="paragraph" w:styleId="ListContinue4">
    <w:name w:val="List Continue 4"/>
    <w:basedOn w:val="List4"/>
    <w:rsid w:val="00C125A8"/>
    <w:pPr>
      <w:ind w:firstLine="0"/>
    </w:pPr>
  </w:style>
  <w:style w:type="paragraph" w:styleId="ListContinue5">
    <w:name w:val="List Continue 5"/>
    <w:basedOn w:val="List5"/>
    <w:rsid w:val="00C125A8"/>
    <w:pPr>
      <w:ind w:firstLine="0"/>
    </w:pPr>
  </w:style>
  <w:style w:type="paragraph" w:styleId="ListNumber3">
    <w:name w:val="List Number 3"/>
    <w:basedOn w:val="List3"/>
    <w:rsid w:val="00C125A8"/>
    <w:pPr>
      <w:numPr>
        <w:numId w:val="5"/>
      </w:numPr>
    </w:pPr>
  </w:style>
  <w:style w:type="paragraph" w:styleId="ListNumber4">
    <w:name w:val="List Number 4"/>
    <w:basedOn w:val="List4"/>
    <w:rsid w:val="00C125A8"/>
    <w:pPr>
      <w:numPr>
        <w:numId w:val="6"/>
      </w:numPr>
    </w:pPr>
  </w:style>
  <w:style w:type="paragraph" w:styleId="ListNumber5">
    <w:name w:val="List Number 5"/>
    <w:basedOn w:val="List5"/>
    <w:rsid w:val="00C125A8"/>
    <w:pPr>
      <w:numPr>
        <w:numId w:val="7"/>
      </w:numPr>
    </w:pPr>
  </w:style>
  <w:style w:type="paragraph" w:styleId="BlockText">
    <w:name w:val="Block Text"/>
    <w:basedOn w:val="Normal"/>
    <w:rsid w:val="00C125A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125A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125A8"/>
    <w:rPr>
      <w:sz w:val="16"/>
      <w:vertAlign w:val="superscript"/>
    </w:rPr>
  </w:style>
  <w:style w:type="character" w:customStyle="1" w:styleId="Symbols">
    <w:name w:val="Symbols"/>
    <w:basedOn w:val="DefaultParagraphFont"/>
    <w:rsid w:val="00C125A8"/>
    <w:rPr>
      <w:rFonts w:ascii="Symbol" w:hAnsi="Symbol"/>
    </w:rPr>
  </w:style>
  <w:style w:type="character" w:customStyle="1" w:styleId="MenuOptions">
    <w:name w:val="Menu Options"/>
    <w:basedOn w:val="DefaultParagraphFont"/>
    <w:rsid w:val="00C125A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125A8"/>
    <w:rPr>
      <w:b/>
    </w:rPr>
  </w:style>
  <w:style w:type="character" w:customStyle="1" w:styleId="Underlined">
    <w:name w:val="Underlined"/>
    <w:basedOn w:val="DefaultParagraphFont"/>
    <w:rsid w:val="00C125A8"/>
    <w:rPr>
      <w:u w:val="single"/>
    </w:rPr>
  </w:style>
  <w:style w:type="paragraph" w:customStyle="1" w:styleId="TableBodyTextRight">
    <w:name w:val="Table Body Text Right"/>
    <w:basedOn w:val="TableBodyText"/>
    <w:rsid w:val="00C125A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125A8"/>
    <w:rPr>
      <w:sz w:val="18"/>
    </w:rPr>
  </w:style>
  <w:style w:type="paragraph" w:customStyle="1" w:styleId="BodySmallRight">
    <w:name w:val="Body Small Right"/>
    <w:basedOn w:val="BodyTextRight"/>
    <w:rsid w:val="00C125A8"/>
    <w:rPr>
      <w:sz w:val="18"/>
      <w:szCs w:val="18"/>
    </w:rPr>
  </w:style>
  <w:style w:type="paragraph" w:customStyle="1" w:styleId="MarginEdition">
    <w:name w:val="Margin Edition"/>
    <w:basedOn w:val="MarginNote"/>
    <w:rsid w:val="00C125A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125A8"/>
    <w:rPr>
      <w:sz w:val="2"/>
      <w:szCs w:val="2"/>
    </w:rPr>
  </w:style>
  <w:style w:type="character" w:customStyle="1" w:styleId="Small">
    <w:name w:val="Small"/>
    <w:basedOn w:val="DefaultParagraphFont"/>
    <w:rsid w:val="00C125A8"/>
    <w:rPr>
      <w:sz w:val="16"/>
    </w:rPr>
  </w:style>
  <w:style w:type="paragraph" w:customStyle="1" w:styleId="WideTable">
    <w:name w:val="Wide Table"/>
    <w:basedOn w:val="Normal"/>
    <w:rsid w:val="00C125A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125A8"/>
  </w:style>
  <w:style w:type="paragraph" w:styleId="Quote">
    <w:name w:val="Quote"/>
    <w:basedOn w:val="Heading1"/>
    <w:link w:val="QuoteChar"/>
    <w:qFormat/>
    <w:rsid w:val="00C125A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125A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125A8"/>
    <w:pPr>
      <w:pageBreakBefore/>
    </w:pPr>
  </w:style>
  <w:style w:type="paragraph" w:customStyle="1" w:styleId="Border">
    <w:name w:val="Border"/>
    <w:basedOn w:val="Normal"/>
    <w:qFormat/>
    <w:rsid w:val="00C125A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125A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25A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25A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125A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125A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125A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125A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125A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125A8"/>
    <w:rPr>
      <w:u w:val="single"/>
    </w:rPr>
  </w:style>
  <w:style w:type="character" w:customStyle="1" w:styleId="BoldandItalics">
    <w:name w:val="Bold and Italics"/>
    <w:qFormat/>
    <w:rsid w:val="00C125A8"/>
    <w:rPr>
      <w:b/>
      <w:i/>
      <w:u w:val="none"/>
    </w:rPr>
  </w:style>
  <w:style w:type="paragraph" w:styleId="BalloonText">
    <w:name w:val="Balloon Text"/>
    <w:basedOn w:val="Normal"/>
    <w:link w:val="BalloonTextChar"/>
    <w:rsid w:val="00C125A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125A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125A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125A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125A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125A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125A8"/>
    <w:pPr>
      <w:spacing w:before="0" w:after="0"/>
    </w:pPr>
  </w:style>
  <w:style w:type="paragraph" w:customStyle="1" w:styleId="BodyTextBold">
    <w:name w:val="Body Text Bold"/>
    <w:basedOn w:val="BodyText"/>
    <w:qFormat/>
    <w:rsid w:val="00C125A8"/>
    <w:rPr>
      <w:b/>
    </w:rPr>
  </w:style>
  <w:style w:type="character" w:styleId="Hyperlink">
    <w:name w:val="Hyperlink"/>
    <w:basedOn w:val="DefaultParagraphFont"/>
    <w:uiPriority w:val="99"/>
    <w:unhideWhenUsed/>
    <w:rsid w:val="00B5238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484</Words>
  <Characters>3307</Characters>
  <Application>Microsoft Office Word</Application>
  <DocSecurity>0</DocSecurity>
  <Lines>70</Lines>
  <Paragraphs>42</Paragraphs>
  <ScaleCrop>false</ScaleCrop>
  <Company>Author-it Software Corporation Ltd.</Company>
  <LinksUpToDate>false</LinksUpToDate>
  <CharactersWithSpaces>3749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MEM08012 Prepare surfaces by abrasive blasting (basic)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2023-02-03T07:12:00Z</dcterms:created>
  <dcterms:modified xsi:type="dcterms:W3CDTF">2023-02-03T07:12:00Z</dcterms:modified>
</cp:coreProperties>
</file>