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D5EDD" w:rsidP="004D5EDD">
      <w:pPr>
        <w:pStyle w:val="Title"/>
      </w:pPr>
      <w:r>
        <w:fldChar w:fldCharType="begin"/>
      </w:r>
      <w:r>
        <w:instrText xml:space="preserve"> TITLE   \* MERGEFORMAT </w:instrText>
      </w:r>
      <w:r>
        <w:fldChar w:fldCharType="separate"/>
      </w:r>
      <w:r>
        <w:t>MEM08011 Prepare surfaces using solvents and/or mechanical means</w:t>
      </w:r>
      <w:r>
        <w:fldChar w:fldCharType="end"/>
      </w:r>
    </w:p>
    <w:p w:rsidR="004D5EDD" w:rsidP="004D5EDD">
      <w:pPr>
        <w:pStyle w:val="Version"/>
        <w:sectPr w:rsidSect="000C31E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C31EE" w:rsidP="000C31EE">
      <w:pPr>
        <w:pStyle w:val="SuperHeading"/>
      </w:pPr>
      <w:r w:rsidRPr="000C31EE">
        <w:t>MEM08011 Prep</w:t>
      </w:r>
      <w:r w:rsidRPr="000C31EE">
        <w:t>are surfaces using solvents and/or mechanical means</w:t>
      </w:r>
    </w:p>
    <w:p w:rsidR="00000000" w:rsidRPr="000C31EE" w:rsidP="000C31EE">
      <w:pPr>
        <w:pStyle w:val="Heading1"/>
      </w:pPr>
      <w:bookmarkStart w:id="1" w:name="O_948102"/>
      <w:bookmarkEnd w:id="1"/>
      <w:r w:rsidRPr="000C31EE">
        <w:t>Modification History</w:t>
      </w:r>
    </w:p>
    <w:p w:rsidR="00000000" w:rsidRPr="000C31EE" w:rsidP="004D5EDD">
      <w:pPr>
        <w:pStyle w:val="BodyText"/>
      </w:pPr>
      <w:r w:rsidRPr="000C31EE">
        <w:t>Release 1. Supersedes and is equivalent to MEM08011B Prepare surfaces using solvents and/or mechanical means</w:t>
      </w:r>
    </w:p>
    <w:p w:rsidR="00000000" w:rsidRPr="000C31EE" w:rsidP="000C31EE">
      <w:pPr>
        <w:pStyle w:val="Heading1"/>
      </w:pPr>
      <w:bookmarkStart w:id="2" w:name="O_948110"/>
      <w:bookmarkEnd w:id="2"/>
      <w:r w:rsidRPr="000C31EE">
        <w:t>Application</w:t>
      </w:r>
    </w:p>
    <w:p w:rsidR="00000000" w:rsidRPr="000C31EE" w:rsidP="004D5EDD">
      <w:pPr>
        <w:pStyle w:val="BodyText"/>
      </w:pPr>
      <w:r w:rsidRPr="000C31EE">
        <w:t>This unit of competency defines the skills and knowledge required to select the appropriate preparation process, select and set up the equipment, undertake blasting or application of solvents on metal and non-metal materials, and check the finished surface</w:t>
      </w:r>
      <w:r w:rsidRPr="000C31EE">
        <w:t>.</w:t>
      </w:r>
    </w:p>
    <w:p w:rsidR="00000000" w:rsidRPr="000C31EE" w:rsidP="004D5EDD">
      <w:pPr>
        <w:pStyle w:val="BodyText"/>
      </w:pPr>
      <w:r w:rsidRPr="000C31EE">
        <w:t>Where the interpretation of technical drawings is required unit MEM09002 Interpret technical drawing should also be selected.</w:t>
      </w:r>
    </w:p>
    <w:p w:rsidR="00000000" w:rsidRPr="000C31EE" w:rsidP="004D5EDD">
      <w:pPr>
        <w:pStyle w:val="BodyText"/>
      </w:pPr>
      <w:r w:rsidRPr="000C31EE">
        <w:t xml:space="preserve">Where the selection and use of engineering measurement is required unit MEM12023 Perform engineering measurements should also </w:t>
      </w:r>
      <w:r w:rsidRPr="000C31EE">
        <w:t>be selected.</w:t>
      </w:r>
    </w:p>
    <w:p w:rsidR="00000000" w:rsidRPr="000C31EE" w:rsidP="004D5EDD">
      <w:pPr>
        <w:pStyle w:val="BodyText"/>
      </w:pPr>
      <w:r w:rsidRPr="000C31EE">
        <w:t>No licensing, legislative or certification requirements apply to this unit at the time of publication.</w:t>
      </w:r>
    </w:p>
    <w:p w:rsidR="00000000" w:rsidRPr="000C31EE" w:rsidP="000C31EE">
      <w:pPr>
        <w:pStyle w:val="BodyText"/>
      </w:pPr>
      <w:r w:rsidRPr="000C31EE">
        <w:rPr>
          <w:rStyle w:val="SpecialBold"/>
        </w:rPr>
        <w:t>Band:</w:t>
      </w:r>
      <w:r w:rsidRPr="000C31EE">
        <w:rPr>
          <w:rStyle w:val="SpecialBold"/>
        </w:rPr>
        <w:tab/>
        <w:t>A</w:t>
      </w:r>
    </w:p>
    <w:p w:rsidR="00000000" w:rsidRPr="000C31EE" w:rsidP="000C31EE">
      <w:pPr>
        <w:pStyle w:val="BodyText"/>
      </w:pPr>
      <w:r w:rsidRPr="000C31EE">
        <w:rPr>
          <w:rStyle w:val="SpecialBold"/>
        </w:rPr>
        <w:t>Unit Weight:</w:t>
      </w:r>
      <w:r w:rsidRPr="000C31EE">
        <w:rPr>
          <w:rStyle w:val="SpecialBold"/>
        </w:rPr>
        <w:tab/>
        <w:t>2</w:t>
      </w:r>
    </w:p>
    <w:p w:rsidR="00000000" w:rsidRPr="000C31EE" w:rsidP="000C31EE">
      <w:pPr>
        <w:pStyle w:val="AllowPageBreak"/>
      </w:pPr>
    </w:p>
    <w:p w:rsidR="00000000" w:rsidRPr="000C31EE" w:rsidP="000C31EE">
      <w:pPr>
        <w:pStyle w:val="Heading1"/>
      </w:pPr>
      <w:bookmarkStart w:id="3" w:name="O_948109"/>
      <w:bookmarkEnd w:id="3"/>
      <w:r w:rsidRPr="000C31EE">
        <w:t>Pre-requisite Unit</w:t>
      </w:r>
    </w:p>
    <w:tbl>
      <w:tblPr>
        <w:tblW w:w="0" w:type="auto"/>
        <w:tblLayout w:type="fixed"/>
        <w:tblCellMar>
          <w:left w:w="62" w:type="dxa"/>
          <w:right w:w="62" w:type="dxa"/>
        </w:tblCellMar>
        <w:tblLook w:val="0000"/>
      </w:tblPr>
      <w:tblGrid>
        <w:gridCol w:w="2181"/>
        <w:gridCol w:w="6858"/>
      </w:tblGrid>
      <w:tr w:rsidTr="000C31EE">
        <w:tblPrEx>
          <w:tblW w:w="0" w:type="auto"/>
          <w:tblLayout w:type="fixed"/>
          <w:tblCellMar>
            <w:left w:w="62" w:type="dxa"/>
            <w:right w:w="62" w:type="dxa"/>
          </w:tblCellMar>
          <w:tblLook w:val="0000"/>
        </w:tblPrEx>
        <w:tc>
          <w:tcPr>
            <w:tcW w:w="2181" w:type="dxa"/>
            <w:tcBorders>
              <w:top w:val="nil"/>
              <w:left w:val="nil"/>
              <w:bottom w:val="nil"/>
              <w:right w:val="nil"/>
            </w:tcBorders>
            <w:tcMar>
              <w:top w:w="0" w:type="dxa"/>
              <w:left w:w="62" w:type="dxa"/>
              <w:bottom w:w="0" w:type="dxa"/>
              <w:right w:w="62" w:type="dxa"/>
            </w:tcMar>
          </w:tcPr>
          <w:p w:rsidR="00000000" w:rsidP="000C31EE">
            <w:pPr>
              <w:pStyle w:val="BodyText"/>
              <w:rPr>
                <w:lang w:val="en-NZ"/>
              </w:rPr>
            </w:pPr>
            <w:r w:rsidRPr="000C31EE">
              <w:t>MEM11011</w:t>
            </w:r>
          </w:p>
        </w:tc>
        <w:tc>
          <w:tcPr>
            <w:tcW w:w="6858" w:type="dxa"/>
            <w:tcBorders>
              <w:top w:val="nil"/>
              <w:left w:val="nil"/>
              <w:bottom w:val="nil"/>
              <w:right w:val="nil"/>
            </w:tcBorders>
            <w:tcMar>
              <w:top w:w="0" w:type="dxa"/>
              <w:left w:w="62" w:type="dxa"/>
              <w:bottom w:w="0" w:type="dxa"/>
              <w:right w:w="62" w:type="dxa"/>
            </w:tcMar>
          </w:tcPr>
          <w:p w:rsidR="00000000" w:rsidP="000C31EE">
            <w:pPr>
              <w:pStyle w:val="BodyText"/>
              <w:rPr>
                <w:lang w:val="en-NZ"/>
              </w:rPr>
            </w:pPr>
            <w:r w:rsidRPr="000C31EE">
              <w:t>Undertake manual handling</w:t>
            </w:r>
          </w:p>
        </w:tc>
      </w:tr>
      <w:tr w:rsidTr="000C31EE">
        <w:tblPrEx>
          <w:tblW w:w="0" w:type="auto"/>
          <w:tblLayout w:type="fixed"/>
          <w:tblCellMar>
            <w:left w:w="62" w:type="dxa"/>
            <w:right w:w="62" w:type="dxa"/>
          </w:tblCellMar>
          <w:tblLook w:val="0000"/>
        </w:tblPrEx>
        <w:tc>
          <w:tcPr>
            <w:tcW w:w="2181" w:type="dxa"/>
            <w:tcBorders>
              <w:top w:val="nil"/>
              <w:left w:val="nil"/>
              <w:bottom w:val="nil"/>
              <w:right w:val="nil"/>
            </w:tcBorders>
            <w:tcMar>
              <w:top w:w="0" w:type="dxa"/>
              <w:left w:w="62" w:type="dxa"/>
              <w:bottom w:w="0" w:type="dxa"/>
              <w:right w:w="62" w:type="dxa"/>
            </w:tcMar>
          </w:tcPr>
          <w:p w:rsidR="00000000" w:rsidP="000C31EE">
            <w:pPr>
              <w:pStyle w:val="BodyText"/>
              <w:rPr>
                <w:lang w:val="en-NZ"/>
              </w:rPr>
            </w:pPr>
            <w:r w:rsidRPr="000C31EE">
              <w:t>MEM13003</w:t>
            </w:r>
          </w:p>
        </w:tc>
        <w:tc>
          <w:tcPr>
            <w:tcW w:w="6858" w:type="dxa"/>
            <w:tcBorders>
              <w:top w:val="nil"/>
              <w:left w:val="nil"/>
              <w:bottom w:val="nil"/>
              <w:right w:val="nil"/>
            </w:tcBorders>
            <w:tcMar>
              <w:top w:w="0" w:type="dxa"/>
              <w:left w:w="62" w:type="dxa"/>
              <w:bottom w:w="0" w:type="dxa"/>
              <w:right w:w="62" w:type="dxa"/>
            </w:tcMar>
          </w:tcPr>
          <w:p w:rsidR="00000000" w:rsidP="000C31EE">
            <w:pPr>
              <w:pStyle w:val="BodyText"/>
              <w:rPr>
                <w:lang w:val="en-NZ"/>
              </w:rPr>
            </w:pPr>
            <w:r w:rsidRPr="000C31EE">
              <w:t>Work safely with industrial chemic</w:t>
            </w:r>
            <w:r w:rsidRPr="000C31EE">
              <w:t>als and materials</w:t>
            </w:r>
          </w:p>
        </w:tc>
      </w:tr>
      <w:tr w:rsidTr="000C31EE">
        <w:tblPrEx>
          <w:tblW w:w="0" w:type="auto"/>
          <w:tblLayout w:type="fixed"/>
          <w:tblCellMar>
            <w:left w:w="62" w:type="dxa"/>
            <w:right w:w="62" w:type="dxa"/>
          </w:tblCellMar>
          <w:tblLook w:val="0000"/>
        </w:tblPrEx>
        <w:tc>
          <w:tcPr>
            <w:tcW w:w="2181" w:type="dxa"/>
            <w:tcBorders>
              <w:top w:val="nil"/>
              <w:left w:val="nil"/>
              <w:bottom w:val="nil"/>
              <w:right w:val="nil"/>
            </w:tcBorders>
            <w:tcMar>
              <w:top w:w="0" w:type="dxa"/>
              <w:left w:w="62" w:type="dxa"/>
              <w:bottom w:w="0" w:type="dxa"/>
              <w:right w:w="62" w:type="dxa"/>
            </w:tcMar>
          </w:tcPr>
          <w:p w:rsidR="00000000" w:rsidP="000C31EE">
            <w:pPr>
              <w:pStyle w:val="BodyText"/>
              <w:rPr>
                <w:lang w:val="en-NZ"/>
              </w:rPr>
            </w:pPr>
            <w:r w:rsidRPr="000C31EE">
              <w:t>MEM13015</w:t>
            </w:r>
          </w:p>
        </w:tc>
        <w:tc>
          <w:tcPr>
            <w:tcW w:w="6858" w:type="dxa"/>
            <w:tcBorders>
              <w:top w:val="nil"/>
              <w:left w:val="nil"/>
              <w:bottom w:val="nil"/>
              <w:right w:val="nil"/>
            </w:tcBorders>
            <w:tcMar>
              <w:top w:w="0" w:type="dxa"/>
              <w:left w:w="62" w:type="dxa"/>
              <w:bottom w:w="0" w:type="dxa"/>
              <w:right w:w="62" w:type="dxa"/>
            </w:tcMar>
          </w:tcPr>
          <w:p w:rsidR="00000000" w:rsidP="000C31EE">
            <w:pPr>
              <w:pStyle w:val="BodyText"/>
              <w:rPr>
                <w:lang w:val="en-NZ"/>
              </w:rPr>
            </w:pPr>
            <w:r w:rsidRPr="000C31EE">
              <w:t>Work safely and effectively in manufacturing and engineering</w:t>
            </w:r>
          </w:p>
        </w:tc>
      </w:tr>
      <w:tr w:rsidTr="000C31EE">
        <w:tblPrEx>
          <w:tblW w:w="0" w:type="auto"/>
          <w:tblLayout w:type="fixed"/>
          <w:tblCellMar>
            <w:left w:w="62" w:type="dxa"/>
            <w:right w:w="62" w:type="dxa"/>
          </w:tblCellMar>
          <w:tblLook w:val="0000"/>
        </w:tblPrEx>
        <w:tc>
          <w:tcPr>
            <w:tcW w:w="2181" w:type="dxa"/>
            <w:tcBorders>
              <w:top w:val="nil"/>
              <w:left w:val="nil"/>
              <w:bottom w:val="nil"/>
              <w:right w:val="nil"/>
            </w:tcBorders>
            <w:tcMar>
              <w:top w:w="0" w:type="dxa"/>
              <w:left w:w="62" w:type="dxa"/>
              <w:bottom w:w="0" w:type="dxa"/>
              <w:right w:w="62" w:type="dxa"/>
            </w:tcMar>
          </w:tcPr>
          <w:p w:rsidR="00000000" w:rsidP="000C31EE">
            <w:pPr>
              <w:pStyle w:val="BodyText"/>
              <w:rPr>
                <w:lang w:val="en-NZ"/>
              </w:rPr>
            </w:pPr>
            <w:r w:rsidRPr="000C31EE">
              <w:t>MEM16006</w:t>
            </w:r>
          </w:p>
        </w:tc>
        <w:tc>
          <w:tcPr>
            <w:tcW w:w="6858" w:type="dxa"/>
            <w:tcBorders>
              <w:top w:val="nil"/>
              <w:left w:val="nil"/>
              <w:bottom w:val="nil"/>
              <w:right w:val="nil"/>
            </w:tcBorders>
            <w:tcMar>
              <w:top w:w="0" w:type="dxa"/>
              <w:left w:w="62" w:type="dxa"/>
              <w:bottom w:w="0" w:type="dxa"/>
              <w:right w:w="62" w:type="dxa"/>
            </w:tcMar>
          </w:tcPr>
          <w:p w:rsidR="00000000" w:rsidP="000C31EE">
            <w:pPr>
              <w:pStyle w:val="BodyText"/>
              <w:rPr>
                <w:lang w:val="en-NZ"/>
              </w:rPr>
            </w:pPr>
            <w:r w:rsidRPr="000C31EE">
              <w:t>Organise and communicate information</w:t>
            </w:r>
          </w:p>
        </w:tc>
      </w:tr>
      <w:tr w:rsidTr="000C31EE">
        <w:tblPrEx>
          <w:tblW w:w="0" w:type="auto"/>
          <w:tblLayout w:type="fixed"/>
          <w:tblCellMar>
            <w:left w:w="62" w:type="dxa"/>
            <w:right w:w="62" w:type="dxa"/>
          </w:tblCellMar>
          <w:tblLook w:val="0000"/>
        </w:tblPrEx>
        <w:tc>
          <w:tcPr>
            <w:tcW w:w="2181" w:type="dxa"/>
            <w:tcBorders>
              <w:top w:val="nil"/>
              <w:left w:val="nil"/>
              <w:bottom w:val="nil"/>
              <w:right w:val="nil"/>
            </w:tcBorders>
            <w:tcMar>
              <w:top w:w="0" w:type="dxa"/>
              <w:left w:w="62" w:type="dxa"/>
              <w:bottom w:w="0" w:type="dxa"/>
              <w:right w:w="62" w:type="dxa"/>
            </w:tcMar>
          </w:tcPr>
          <w:p w:rsidR="00000000" w:rsidP="000C31EE">
            <w:pPr>
              <w:pStyle w:val="BodyText"/>
              <w:rPr>
                <w:lang w:val="en-NZ"/>
              </w:rPr>
            </w:pPr>
            <w:r w:rsidRPr="000C31EE">
              <w:t>MEM18001</w:t>
            </w:r>
          </w:p>
        </w:tc>
        <w:tc>
          <w:tcPr>
            <w:tcW w:w="6858" w:type="dxa"/>
            <w:tcBorders>
              <w:top w:val="nil"/>
              <w:left w:val="nil"/>
              <w:bottom w:val="nil"/>
              <w:right w:val="nil"/>
            </w:tcBorders>
            <w:tcMar>
              <w:top w:w="0" w:type="dxa"/>
              <w:left w:w="62" w:type="dxa"/>
              <w:bottom w:w="0" w:type="dxa"/>
              <w:right w:w="62" w:type="dxa"/>
            </w:tcMar>
          </w:tcPr>
          <w:p w:rsidR="00000000" w:rsidP="000C31EE">
            <w:pPr>
              <w:pStyle w:val="BodyText"/>
              <w:rPr>
                <w:lang w:val="en-NZ"/>
              </w:rPr>
            </w:pPr>
            <w:r w:rsidRPr="000C31EE">
              <w:t>Use hand tools</w:t>
            </w:r>
          </w:p>
        </w:tc>
      </w:tr>
      <w:tr w:rsidTr="000C31EE">
        <w:tblPrEx>
          <w:tblW w:w="0" w:type="auto"/>
          <w:tblLayout w:type="fixed"/>
          <w:tblCellMar>
            <w:left w:w="62" w:type="dxa"/>
            <w:right w:w="62" w:type="dxa"/>
          </w:tblCellMar>
          <w:tblLook w:val="0000"/>
        </w:tblPrEx>
        <w:tc>
          <w:tcPr>
            <w:tcW w:w="2181" w:type="dxa"/>
            <w:tcBorders>
              <w:top w:val="nil"/>
              <w:left w:val="nil"/>
              <w:bottom w:val="nil"/>
              <w:right w:val="nil"/>
            </w:tcBorders>
            <w:tcMar>
              <w:top w:w="0" w:type="dxa"/>
              <w:left w:w="62" w:type="dxa"/>
              <w:bottom w:w="0" w:type="dxa"/>
              <w:right w:w="62" w:type="dxa"/>
            </w:tcMar>
          </w:tcPr>
          <w:p w:rsidR="00000000" w:rsidP="000C31EE">
            <w:pPr>
              <w:pStyle w:val="BodyText"/>
              <w:rPr>
                <w:lang w:val="en-NZ"/>
              </w:rPr>
            </w:pPr>
            <w:r w:rsidRPr="000C31EE">
              <w:t>MEM18002</w:t>
            </w:r>
          </w:p>
        </w:tc>
        <w:tc>
          <w:tcPr>
            <w:tcW w:w="6858" w:type="dxa"/>
            <w:tcBorders>
              <w:top w:val="nil"/>
              <w:left w:val="nil"/>
              <w:bottom w:val="nil"/>
              <w:right w:val="nil"/>
            </w:tcBorders>
            <w:tcMar>
              <w:top w:w="0" w:type="dxa"/>
              <w:left w:w="62" w:type="dxa"/>
              <w:bottom w:w="0" w:type="dxa"/>
              <w:right w:w="62" w:type="dxa"/>
            </w:tcMar>
          </w:tcPr>
          <w:p w:rsidR="00000000" w:rsidRPr="000C31EE" w:rsidP="000C31EE">
            <w:pPr>
              <w:pStyle w:val="BodyText"/>
            </w:pPr>
            <w:r w:rsidRPr="000C31EE">
              <w:t>Use power tools/hand held operations</w:t>
            </w:r>
          </w:p>
        </w:tc>
      </w:tr>
    </w:tbl>
    <w:p w:rsidR="00000000" w:rsidRPr="000C31EE" w:rsidP="000C31EE">
      <w:pPr>
        <w:pStyle w:val="BodyText"/>
      </w:pPr>
    </w:p>
    <w:p w:rsidR="00000000" w:rsidRPr="000C31EE" w:rsidP="000C31EE">
      <w:pPr>
        <w:pStyle w:val="AllowPageBreak"/>
      </w:pPr>
    </w:p>
    <w:p w:rsidR="00000000" w:rsidRPr="000C31EE" w:rsidP="000C31EE">
      <w:pPr>
        <w:pStyle w:val="Heading1"/>
      </w:pPr>
      <w:bookmarkStart w:id="4" w:name="O_948108"/>
      <w:bookmarkEnd w:id="4"/>
      <w:r w:rsidRPr="000C31EE">
        <w:t>Competency Field</w:t>
      </w:r>
    </w:p>
    <w:p w:rsidR="00000000" w:rsidRPr="000C31EE" w:rsidP="004D5EDD">
      <w:pPr>
        <w:pStyle w:val="BodyText"/>
      </w:pPr>
      <w:r w:rsidRPr="000C31EE">
        <w:t>Surface finishing</w:t>
      </w:r>
    </w:p>
    <w:p w:rsidR="00000000" w:rsidRPr="000C31EE" w:rsidP="000C31EE">
      <w:pPr>
        <w:pStyle w:val="Heading1"/>
      </w:pPr>
      <w:bookmarkStart w:id="5" w:name="O_948106"/>
      <w:bookmarkEnd w:id="5"/>
      <w:r w:rsidRPr="000C31EE">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0C31EE">
        <w:tblPrEx>
          <w:tblW w:w="0" w:type="auto"/>
          <w:tblLayout w:type="fixed"/>
          <w:tblCellMar>
            <w:left w:w="62" w:type="dxa"/>
            <w:right w:w="62" w:type="dxa"/>
          </w:tblCellMar>
          <w:tblLook w:val="0000"/>
        </w:tblPrEx>
        <w:trPr>
          <w:tblHeader/>
        </w:trPr>
        <w:tc>
          <w:tcPr>
            <w:tcW w:w="2672" w:type="dxa"/>
            <w:gridSpan w:val="2"/>
            <w:tcBorders>
              <w:top w:val="nil"/>
              <w:left w:val="nil"/>
              <w:bottom w:val="nil"/>
              <w:right w:val="nil"/>
            </w:tcBorders>
            <w:tcMar>
              <w:top w:w="0" w:type="dxa"/>
              <w:left w:w="62" w:type="dxa"/>
              <w:bottom w:w="0" w:type="dxa"/>
              <w:right w:w="62" w:type="dxa"/>
            </w:tcMar>
          </w:tcPr>
          <w:p w:rsidR="00000000" w:rsidP="000C31EE">
            <w:pPr>
              <w:pStyle w:val="BodyText"/>
              <w:rPr>
                <w:lang w:val="en-NZ"/>
              </w:rPr>
            </w:pPr>
            <w:r w:rsidRPr="000C31EE">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0C31EE">
            <w:pPr>
              <w:pStyle w:val="BodyText"/>
              <w:rPr>
                <w:lang w:val="en-NZ"/>
              </w:rPr>
            </w:pPr>
            <w:r w:rsidRPr="000C31EE">
              <w:t>Performance criteria describe the performance needed to demonstrate achievement of the element.</w:t>
            </w:r>
          </w:p>
        </w:tc>
      </w:tr>
      <w:tr w:rsidTr="000C31E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0C31EE" w:rsidP="000C31EE">
            <w:pPr>
              <w:pStyle w:val="BodyText"/>
            </w:pPr>
            <w:r w:rsidRPr="000C31EE">
              <w:t>1</w:t>
            </w:r>
          </w:p>
        </w:tc>
        <w:tc>
          <w:tcPr>
            <w:tcW w:w="1986" w:type="dxa"/>
            <w:vMerge w:val="restart"/>
            <w:tcBorders>
              <w:top w:val="nil"/>
              <w:left w:val="nil"/>
              <w:bottom w:val="nil"/>
              <w:right w:val="nil"/>
            </w:tcBorders>
            <w:tcMar>
              <w:top w:w="0" w:type="dxa"/>
              <w:left w:w="62" w:type="dxa"/>
              <w:bottom w:w="0" w:type="dxa"/>
              <w:right w:w="62" w:type="dxa"/>
            </w:tcMar>
          </w:tcPr>
          <w:p w:rsidR="00000000" w:rsidP="000C31EE">
            <w:pPr>
              <w:pStyle w:val="BodyText"/>
              <w:rPr>
                <w:lang w:val="en-NZ"/>
              </w:rPr>
            </w:pPr>
            <w:r w:rsidRPr="000C31EE">
              <w:rPr>
                <w:rStyle w:val="SpecialBold"/>
              </w:rPr>
              <w:t>Determine job requirements</w:t>
            </w:r>
          </w:p>
        </w:tc>
        <w:tc>
          <w:tcPr>
            <w:tcW w:w="779" w:type="dxa"/>
            <w:tcBorders>
              <w:top w:val="nil"/>
              <w:left w:val="nil"/>
              <w:bottom w:val="nil"/>
              <w:right w:val="nil"/>
            </w:tcBorders>
            <w:tcMar>
              <w:top w:w="0" w:type="dxa"/>
              <w:left w:w="62" w:type="dxa"/>
              <w:bottom w:w="0" w:type="dxa"/>
              <w:right w:w="62" w:type="dxa"/>
            </w:tcMar>
          </w:tcPr>
          <w:p w:rsidR="00000000" w:rsidP="000C31EE">
            <w:pPr>
              <w:pStyle w:val="BodyText"/>
              <w:rPr>
                <w:lang w:val="en-NZ"/>
              </w:rPr>
            </w:pPr>
            <w:r w:rsidRPr="000C31EE">
              <w:t>1.1</w:t>
            </w:r>
          </w:p>
        </w:tc>
        <w:tc>
          <w:tcPr>
            <w:tcW w:w="5678" w:type="dxa"/>
            <w:tcBorders>
              <w:top w:val="nil"/>
              <w:left w:val="nil"/>
              <w:bottom w:val="nil"/>
              <w:right w:val="nil"/>
            </w:tcBorders>
            <w:tcMar>
              <w:top w:w="0" w:type="dxa"/>
              <w:left w:w="62" w:type="dxa"/>
              <w:bottom w:w="0" w:type="dxa"/>
              <w:right w:w="62" w:type="dxa"/>
            </w:tcMar>
          </w:tcPr>
          <w:p w:rsidR="00000000" w:rsidP="000C31EE">
            <w:pPr>
              <w:pStyle w:val="BodyText"/>
              <w:rPr>
                <w:lang w:val="en-NZ"/>
              </w:rPr>
            </w:pPr>
            <w:r w:rsidRPr="000C31EE">
              <w:t>Follow standard operating procedures (SOPs)</w:t>
            </w:r>
          </w:p>
        </w:tc>
      </w:tr>
      <w:tr w:rsidTr="000C31E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C31EE">
            <w:pPr>
              <w:pStyle w:val="BodyText"/>
              <w:rPr>
                <w:lang w:val="en-NZ"/>
              </w:rPr>
            </w:pPr>
            <w:r w:rsidRPr="000C31EE">
              <w:t>1.2</w:t>
            </w:r>
          </w:p>
        </w:tc>
        <w:tc>
          <w:tcPr>
            <w:tcW w:w="5678" w:type="dxa"/>
            <w:tcBorders>
              <w:top w:val="nil"/>
              <w:left w:val="nil"/>
              <w:bottom w:val="nil"/>
              <w:right w:val="nil"/>
            </w:tcBorders>
            <w:tcMar>
              <w:top w:w="0" w:type="dxa"/>
              <w:left w:w="62" w:type="dxa"/>
              <w:bottom w:w="0" w:type="dxa"/>
              <w:right w:w="62" w:type="dxa"/>
            </w:tcMar>
          </w:tcPr>
          <w:p w:rsidR="00000000" w:rsidP="000C31EE">
            <w:pPr>
              <w:pStyle w:val="BodyText"/>
              <w:rPr>
                <w:lang w:val="en-NZ"/>
              </w:rPr>
            </w:pPr>
            <w:r w:rsidRPr="000C31EE">
              <w:t>Comply with work health and safety (WHS) requirements at all times</w:t>
            </w:r>
          </w:p>
        </w:tc>
      </w:tr>
      <w:tr w:rsidTr="000C31E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C31EE">
            <w:pPr>
              <w:pStyle w:val="BodyText"/>
              <w:rPr>
                <w:lang w:val="en-NZ"/>
              </w:rPr>
            </w:pPr>
            <w:r w:rsidRPr="000C31EE">
              <w:t>1.3</w:t>
            </w:r>
          </w:p>
        </w:tc>
        <w:tc>
          <w:tcPr>
            <w:tcW w:w="5678" w:type="dxa"/>
            <w:tcBorders>
              <w:top w:val="nil"/>
              <w:left w:val="nil"/>
              <w:bottom w:val="nil"/>
              <w:right w:val="nil"/>
            </w:tcBorders>
            <w:tcMar>
              <w:top w:w="0" w:type="dxa"/>
              <w:left w:w="62" w:type="dxa"/>
              <w:bottom w:w="0" w:type="dxa"/>
              <w:right w:w="62" w:type="dxa"/>
            </w:tcMar>
          </w:tcPr>
          <w:p w:rsidR="00000000" w:rsidP="000C31EE">
            <w:pPr>
              <w:pStyle w:val="BodyText"/>
              <w:rPr>
                <w:lang w:val="en-NZ"/>
              </w:rPr>
            </w:pPr>
            <w:r w:rsidRPr="000C31EE">
              <w:t>Use appropriate personal protective equipment (PPE) in accordance with SOPs</w:t>
            </w:r>
          </w:p>
        </w:tc>
      </w:tr>
      <w:tr w:rsidTr="000C31E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C31EE">
            <w:pPr>
              <w:pStyle w:val="BodyText"/>
              <w:rPr>
                <w:lang w:val="en-NZ"/>
              </w:rPr>
            </w:pPr>
            <w:r w:rsidRPr="000C31EE">
              <w:t>1.4</w:t>
            </w:r>
          </w:p>
        </w:tc>
        <w:tc>
          <w:tcPr>
            <w:tcW w:w="5678" w:type="dxa"/>
            <w:tcBorders>
              <w:top w:val="nil"/>
              <w:left w:val="nil"/>
              <w:bottom w:val="nil"/>
              <w:right w:val="nil"/>
            </w:tcBorders>
            <w:tcMar>
              <w:top w:w="0" w:type="dxa"/>
              <w:left w:w="62" w:type="dxa"/>
              <w:bottom w:w="0" w:type="dxa"/>
              <w:right w:w="62" w:type="dxa"/>
            </w:tcMar>
          </w:tcPr>
          <w:p w:rsidR="00000000" w:rsidP="000C31EE">
            <w:pPr>
              <w:pStyle w:val="BodyText"/>
              <w:rPr>
                <w:lang w:val="en-NZ"/>
              </w:rPr>
            </w:pPr>
            <w:r w:rsidRPr="000C31EE">
              <w:t>Identify surface preparation requirements from specifications, job sheets or work instructions</w:t>
            </w:r>
          </w:p>
        </w:tc>
      </w:tr>
      <w:tr w:rsidTr="000C31EE">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0C31EE">
            <w:pPr>
              <w:pStyle w:val="BodyText"/>
              <w:rPr>
                <w:lang w:val="en-NZ"/>
              </w:rPr>
            </w:pPr>
          </w:p>
        </w:tc>
      </w:tr>
      <w:tr w:rsidTr="000C31E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0C31EE" w:rsidP="000C31EE">
            <w:pPr>
              <w:pStyle w:val="BodyText"/>
            </w:pPr>
            <w:r w:rsidRPr="000C31EE">
              <w:t>2</w:t>
            </w:r>
          </w:p>
        </w:tc>
        <w:tc>
          <w:tcPr>
            <w:tcW w:w="1986" w:type="dxa"/>
            <w:vMerge w:val="restart"/>
            <w:tcBorders>
              <w:top w:val="nil"/>
              <w:left w:val="nil"/>
              <w:bottom w:val="nil"/>
              <w:right w:val="nil"/>
            </w:tcBorders>
            <w:tcMar>
              <w:top w:w="0" w:type="dxa"/>
              <w:left w:w="62" w:type="dxa"/>
              <w:bottom w:w="0" w:type="dxa"/>
              <w:right w:w="62" w:type="dxa"/>
            </w:tcMar>
          </w:tcPr>
          <w:p w:rsidR="00000000" w:rsidP="000C31EE">
            <w:pPr>
              <w:pStyle w:val="BodyText"/>
              <w:rPr>
                <w:lang w:val="en-NZ"/>
              </w:rPr>
            </w:pPr>
            <w:r w:rsidRPr="000C31EE">
              <w:rPr>
                <w:rStyle w:val="SpecialBold"/>
              </w:rPr>
              <w:t>Prepare to undertake work</w:t>
            </w:r>
          </w:p>
        </w:tc>
        <w:tc>
          <w:tcPr>
            <w:tcW w:w="779" w:type="dxa"/>
            <w:tcBorders>
              <w:top w:val="nil"/>
              <w:left w:val="nil"/>
              <w:bottom w:val="nil"/>
              <w:right w:val="nil"/>
            </w:tcBorders>
            <w:tcMar>
              <w:top w:w="0" w:type="dxa"/>
              <w:left w:w="62" w:type="dxa"/>
              <w:bottom w:w="0" w:type="dxa"/>
              <w:right w:w="62" w:type="dxa"/>
            </w:tcMar>
          </w:tcPr>
          <w:p w:rsidR="00000000" w:rsidP="000C31EE">
            <w:pPr>
              <w:pStyle w:val="BodyText"/>
              <w:rPr>
                <w:lang w:val="en-NZ"/>
              </w:rPr>
            </w:pPr>
            <w:r w:rsidRPr="000C31EE">
              <w:t>2.1</w:t>
            </w:r>
          </w:p>
        </w:tc>
        <w:tc>
          <w:tcPr>
            <w:tcW w:w="5678" w:type="dxa"/>
            <w:tcBorders>
              <w:top w:val="nil"/>
              <w:left w:val="nil"/>
              <w:bottom w:val="nil"/>
              <w:right w:val="nil"/>
            </w:tcBorders>
            <w:tcMar>
              <w:top w:w="0" w:type="dxa"/>
              <w:left w:w="62" w:type="dxa"/>
              <w:bottom w:w="0" w:type="dxa"/>
              <w:right w:w="62" w:type="dxa"/>
            </w:tcMar>
          </w:tcPr>
          <w:p w:rsidR="00000000" w:rsidP="000C31EE">
            <w:pPr>
              <w:pStyle w:val="BodyText"/>
              <w:rPr>
                <w:lang w:val="en-NZ"/>
              </w:rPr>
            </w:pPr>
            <w:r w:rsidRPr="000C31EE">
              <w:t>Select appropriate solvent and solvent application to meet job specification</w:t>
            </w:r>
          </w:p>
        </w:tc>
      </w:tr>
      <w:tr w:rsidTr="000C31E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C31EE">
            <w:pPr>
              <w:pStyle w:val="BodyText"/>
              <w:rPr>
                <w:lang w:val="en-NZ"/>
              </w:rPr>
            </w:pPr>
            <w:r w:rsidRPr="000C31EE">
              <w:t>2.2</w:t>
            </w:r>
          </w:p>
        </w:tc>
        <w:tc>
          <w:tcPr>
            <w:tcW w:w="5678" w:type="dxa"/>
            <w:tcBorders>
              <w:top w:val="nil"/>
              <w:left w:val="nil"/>
              <w:bottom w:val="nil"/>
              <w:right w:val="nil"/>
            </w:tcBorders>
            <w:tcMar>
              <w:top w:w="0" w:type="dxa"/>
              <w:left w:w="62" w:type="dxa"/>
              <w:bottom w:w="0" w:type="dxa"/>
              <w:right w:w="62" w:type="dxa"/>
            </w:tcMar>
          </w:tcPr>
          <w:p w:rsidR="00000000" w:rsidP="000C31EE">
            <w:pPr>
              <w:pStyle w:val="BodyText"/>
              <w:rPr>
                <w:lang w:val="en-NZ"/>
              </w:rPr>
            </w:pPr>
            <w:r w:rsidRPr="000C31EE">
              <w:t>Select appropriate mechanical equipment to meet job specification</w:t>
            </w:r>
          </w:p>
        </w:tc>
      </w:tr>
      <w:tr w:rsidTr="000C31E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C31EE">
            <w:pPr>
              <w:pStyle w:val="BodyText"/>
              <w:rPr>
                <w:lang w:val="en-NZ"/>
              </w:rPr>
            </w:pPr>
            <w:r w:rsidRPr="000C31EE">
              <w:t>2.3</w:t>
            </w:r>
          </w:p>
        </w:tc>
        <w:tc>
          <w:tcPr>
            <w:tcW w:w="5678" w:type="dxa"/>
            <w:tcBorders>
              <w:top w:val="nil"/>
              <w:left w:val="nil"/>
              <w:bottom w:val="nil"/>
              <w:right w:val="nil"/>
            </w:tcBorders>
            <w:tcMar>
              <w:top w:w="0" w:type="dxa"/>
              <w:left w:w="62" w:type="dxa"/>
              <w:bottom w:w="0" w:type="dxa"/>
              <w:right w:w="62" w:type="dxa"/>
            </w:tcMar>
          </w:tcPr>
          <w:p w:rsidR="00000000" w:rsidP="000C31EE">
            <w:pPr>
              <w:pStyle w:val="BodyText"/>
              <w:rPr>
                <w:lang w:val="en-NZ"/>
              </w:rPr>
            </w:pPr>
            <w:r w:rsidRPr="000C31EE">
              <w:t>Prepare worksite for surface cleaning activities</w:t>
            </w:r>
          </w:p>
        </w:tc>
      </w:tr>
      <w:tr w:rsidTr="000C31EE">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0C31EE">
            <w:pPr>
              <w:pStyle w:val="BodyText"/>
              <w:rPr>
                <w:lang w:val="en-NZ"/>
              </w:rPr>
            </w:pPr>
          </w:p>
        </w:tc>
      </w:tr>
      <w:tr w:rsidTr="000C31E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0C31EE" w:rsidP="000C31EE">
            <w:pPr>
              <w:pStyle w:val="BodyText"/>
            </w:pPr>
            <w:r w:rsidRPr="000C31EE">
              <w:t>3</w:t>
            </w:r>
          </w:p>
        </w:tc>
        <w:tc>
          <w:tcPr>
            <w:tcW w:w="1986" w:type="dxa"/>
            <w:tcBorders>
              <w:top w:val="nil"/>
              <w:left w:val="nil"/>
              <w:bottom w:val="nil"/>
              <w:right w:val="nil"/>
            </w:tcBorders>
            <w:tcMar>
              <w:top w:w="0" w:type="dxa"/>
              <w:left w:w="62" w:type="dxa"/>
              <w:bottom w:w="0" w:type="dxa"/>
              <w:right w:w="62" w:type="dxa"/>
            </w:tcMar>
          </w:tcPr>
          <w:p w:rsidR="00000000" w:rsidP="000C31EE">
            <w:pPr>
              <w:pStyle w:val="BodyText"/>
              <w:rPr>
                <w:lang w:val="en-NZ"/>
              </w:rPr>
            </w:pPr>
            <w:r w:rsidRPr="000C31EE">
              <w:rPr>
                <w:rStyle w:val="SpecialBold"/>
              </w:rPr>
              <w:t>Set up equipment</w:t>
            </w:r>
          </w:p>
        </w:tc>
        <w:tc>
          <w:tcPr>
            <w:tcW w:w="779" w:type="dxa"/>
            <w:tcBorders>
              <w:top w:val="nil"/>
              <w:left w:val="nil"/>
              <w:bottom w:val="nil"/>
              <w:right w:val="nil"/>
            </w:tcBorders>
            <w:tcMar>
              <w:top w:w="0" w:type="dxa"/>
              <w:left w:w="62" w:type="dxa"/>
              <w:bottom w:w="0" w:type="dxa"/>
              <w:right w:w="62" w:type="dxa"/>
            </w:tcMar>
          </w:tcPr>
          <w:p w:rsidR="00000000" w:rsidP="000C31EE">
            <w:pPr>
              <w:pStyle w:val="BodyText"/>
              <w:rPr>
                <w:lang w:val="en-NZ"/>
              </w:rPr>
            </w:pPr>
            <w:r w:rsidRPr="000C31EE">
              <w:t>3.1</w:t>
            </w:r>
          </w:p>
        </w:tc>
        <w:tc>
          <w:tcPr>
            <w:tcW w:w="5678" w:type="dxa"/>
            <w:tcBorders>
              <w:top w:val="nil"/>
              <w:left w:val="nil"/>
              <w:bottom w:val="nil"/>
              <w:right w:val="nil"/>
            </w:tcBorders>
            <w:tcMar>
              <w:top w:w="0" w:type="dxa"/>
              <w:left w:w="62" w:type="dxa"/>
              <w:bottom w:w="0" w:type="dxa"/>
              <w:right w:w="62" w:type="dxa"/>
            </w:tcMar>
          </w:tcPr>
          <w:p w:rsidR="00000000" w:rsidP="000C31EE">
            <w:pPr>
              <w:pStyle w:val="BodyText"/>
              <w:rPr>
                <w:lang w:val="en-NZ"/>
              </w:rPr>
            </w:pPr>
            <w:r w:rsidRPr="000C31EE">
              <w:t>Set up and prepare appropriate equipment and any required consumables in accordance with manufactures</w:t>
            </w:r>
            <w:r>
              <w:t>’</w:t>
            </w:r>
            <w:r w:rsidRPr="000C31EE">
              <w:t xml:space="preserve"> specifications and SOPs</w:t>
            </w:r>
          </w:p>
        </w:tc>
      </w:tr>
      <w:tr w:rsidTr="000C31EE">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0C31EE">
            <w:pPr>
              <w:pStyle w:val="BodyText"/>
              <w:rPr>
                <w:lang w:val="en-NZ"/>
              </w:rPr>
            </w:pPr>
          </w:p>
        </w:tc>
      </w:tr>
      <w:tr w:rsidTr="000C31E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0C31EE" w:rsidP="000C31EE">
            <w:pPr>
              <w:pStyle w:val="BodyText"/>
            </w:pPr>
            <w:r w:rsidRPr="000C31EE">
              <w:t>4</w:t>
            </w:r>
          </w:p>
        </w:tc>
        <w:tc>
          <w:tcPr>
            <w:tcW w:w="1986" w:type="dxa"/>
            <w:vMerge w:val="restart"/>
            <w:tcBorders>
              <w:top w:val="nil"/>
              <w:left w:val="nil"/>
              <w:bottom w:val="nil"/>
              <w:right w:val="nil"/>
            </w:tcBorders>
            <w:tcMar>
              <w:top w:w="0" w:type="dxa"/>
              <w:left w:w="62" w:type="dxa"/>
              <w:bottom w:w="0" w:type="dxa"/>
              <w:right w:w="62" w:type="dxa"/>
            </w:tcMar>
          </w:tcPr>
          <w:p w:rsidR="00000000" w:rsidP="000C31EE">
            <w:pPr>
              <w:pStyle w:val="BodyText"/>
              <w:rPr>
                <w:lang w:val="en-NZ"/>
              </w:rPr>
            </w:pPr>
            <w:r w:rsidRPr="000C31EE">
              <w:rPr>
                <w:rStyle w:val="SpecialBold"/>
              </w:rPr>
              <w:t>Prepare surfaces using solvents as required</w:t>
            </w:r>
          </w:p>
        </w:tc>
        <w:tc>
          <w:tcPr>
            <w:tcW w:w="779" w:type="dxa"/>
            <w:tcBorders>
              <w:top w:val="nil"/>
              <w:left w:val="nil"/>
              <w:bottom w:val="nil"/>
              <w:right w:val="nil"/>
            </w:tcBorders>
            <w:tcMar>
              <w:top w:w="0" w:type="dxa"/>
              <w:left w:w="62" w:type="dxa"/>
              <w:bottom w:w="0" w:type="dxa"/>
              <w:right w:w="62" w:type="dxa"/>
            </w:tcMar>
          </w:tcPr>
          <w:p w:rsidR="00000000" w:rsidP="000C31EE">
            <w:pPr>
              <w:pStyle w:val="BodyText"/>
              <w:rPr>
                <w:lang w:val="en-NZ"/>
              </w:rPr>
            </w:pPr>
            <w:r w:rsidRPr="000C31EE">
              <w:t>4.1</w:t>
            </w:r>
          </w:p>
        </w:tc>
        <w:tc>
          <w:tcPr>
            <w:tcW w:w="5678" w:type="dxa"/>
            <w:tcBorders>
              <w:top w:val="nil"/>
              <w:left w:val="nil"/>
              <w:bottom w:val="nil"/>
              <w:right w:val="nil"/>
            </w:tcBorders>
            <w:tcMar>
              <w:top w:w="0" w:type="dxa"/>
              <w:left w:w="62" w:type="dxa"/>
              <w:bottom w:w="0" w:type="dxa"/>
              <w:right w:w="62" w:type="dxa"/>
            </w:tcMar>
          </w:tcPr>
          <w:p w:rsidR="00000000" w:rsidP="000C31EE">
            <w:pPr>
              <w:pStyle w:val="BodyText"/>
              <w:rPr>
                <w:lang w:val="en-NZ"/>
              </w:rPr>
            </w:pPr>
            <w:r w:rsidRPr="000C31EE">
              <w:t>Establish safe working environment for solvent use according to regulator</w:t>
            </w:r>
            <w:r w:rsidRPr="000C31EE">
              <w:t>y requirements and SOPs</w:t>
            </w:r>
          </w:p>
        </w:tc>
      </w:tr>
      <w:tr w:rsidTr="000C31E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C31EE">
            <w:pPr>
              <w:pStyle w:val="BodyText"/>
              <w:rPr>
                <w:lang w:val="en-NZ"/>
              </w:rPr>
            </w:pPr>
            <w:r w:rsidRPr="000C31EE">
              <w:t>4.2</w:t>
            </w:r>
          </w:p>
        </w:tc>
        <w:tc>
          <w:tcPr>
            <w:tcW w:w="5678" w:type="dxa"/>
            <w:tcBorders>
              <w:top w:val="nil"/>
              <w:left w:val="nil"/>
              <w:bottom w:val="nil"/>
              <w:right w:val="nil"/>
            </w:tcBorders>
            <w:tcMar>
              <w:top w:w="0" w:type="dxa"/>
              <w:left w:w="62" w:type="dxa"/>
              <w:bottom w:w="0" w:type="dxa"/>
              <w:right w:w="62" w:type="dxa"/>
            </w:tcMar>
          </w:tcPr>
          <w:p w:rsidR="00000000" w:rsidP="000C31EE">
            <w:pPr>
              <w:pStyle w:val="BodyText"/>
              <w:rPr>
                <w:lang w:val="en-NZ"/>
              </w:rPr>
            </w:pPr>
            <w:r w:rsidRPr="000C31EE">
              <w:t>Apply solvent in accordance with procedures</w:t>
            </w:r>
          </w:p>
        </w:tc>
      </w:tr>
      <w:tr w:rsidTr="000C31E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C31EE">
            <w:pPr>
              <w:pStyle w:val="BodyText"/>
              <w:rPr>
                <w:lang w:val="en-NZ"/>
              </w:rPr>
            </w:pPr>
            <w:r w:rsidRPr="000C31EE">
              <w:t>4.3</w:t>
            </w:r>
          </w:p>
        </w:tc>
        <w:tc>
          <w:tcPr>
            <w:tcW w:w="5678" w:type="dxa"/>
            <w:tcBorders>
              <w:top w:val="nil"/>
              <w:left w:val="nil"/>
              <w:bottom w:val="nil"/>
              <w:right w:val="nil"/>
            </w:tcBorders>
            <w:tcMar>
              <w:top w:w="0" w:type="dxa"/>
              <w:left w:w="62" w:type="dxa"/>
              <w:bottom w:w="0" w:type="dxa"/>
              <w:right w:w="62" w:type="dxa"/>
            </w:tcMar>
          </w:tcPr>
          <w:p w:rsidR="00000000" w:rsidP="000C31EE">
            <w:pPr>
              <w:pStyle w:val="BodyText"/>
              <w:rPr>
                <w:lang w:val="en-NZ"/>
              </w:rPr>
            </w:pPr>
            <w:r w:rsidRPr="000C31EE">
              <w:t>Neutralise treated surface and make it safe to handle</w:t>
            </w:r>
          </w:p>
        </w:tc>
      </w:tr>
      <w:tr w:rsidTr="000C31EE">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0C31EE">
            <w:pPr>
              <w:pStyle w:val="BodyText"/>
              <w:rPr>
                <w:lang w:val="en-NZ"/>
              </w:rPr>
            </w:pPr>
          </w:p>
        </w:tc>
      </w:tr>
      <w:tr w:rsidTr="000C31E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0C31EE" w:rsidP="000C31EE">
            <w:pPr>
              <w:pStyle w:val="BodyText"/>
            </w:pPr>
            <w:r w:rsidRPr="000C31EE">
              <w:t>5</w:t>
            </w:r>
          </w:p>
        </w:tc>
        <w:tc>
          <w:tcPr>
            <w:tcW w:w="1986" w:type="dxa"/>
            <w:vMerge w:val="restart"/>
            <w:tcBorders>
              <w:top w:val="nil"/>
              <w:left w:val="nil"/>
              <w:bottom w:val="nil"/>
              <w:right w:val="nil"/>
            </w:tcBorders>
            <w:tcMar>
              <w:top w:w="0" w:type="dxa"/>
              <w:left w:w="62" w:type="dxa"/>
              <w:bottom w:w="0" w:type="dxa"/>
              <w:right w:w="62" w:type="dxa"/>
            </w:tcMar>
          </w:tcPr>
          <w:p w:rsidR="00000000" w:rsidP="000C31EE">
            <w:pPr>
              <w:pStyle w:val="BodyText"/>
              <w:rPr>
                <w:lang w:val="en-NZ"/>
              </w:rPr>
            </w:pPr>
            <w:r w:rsidRPr="000C31EE">
              <w:rPr>
                <w:rStyle w:val="SpecialBold"/>
              </w:rPr>
              <w:t xml:space="preserve">Prepare surfaces using mechanical </w:t>
            </w:r>
            <w:r w:rsidRPr="000C31EE">
              <w:rPr>
                <w:rStyle w:val="SpecialBold"/>
              </w:rPr>
              <w:t>means as required</w:t>
            </w:r>
          </w:p>
        </w:tc>
        <w:tc>
          <w:tcPr>
            <w:tcW w:w="779" w:type="dxa"/>
            <w:tcBorders>
              <w:top w:val="nil"/>
              <w:left w:val="nil"/>
              <w:bottom w:val="nil"/>
              <w:right w:val="nil"/>
            </w:tcBorders>
            <w:tcMar>
              <w:top w:w="0" w:type="dxa"/>
              <w:left w:w="62" w:type="dxa"/>
              <w:bottom w:w="0" w:type="dxa"/>
              <w:right w:w="62" w:type="dxa"/>
            </w:tcMar>
          </w:tcPr>
          <w:p w:rsidR="00000000" w:rsidP="000C31EE">
            <w:pPr>
              <w:pStyle w:val="BodyText"/>
              <w:rPr>
                <w:lang w:val="en-NZ"/>
              </w:rPr>
            </w:pPr>
            <w:r w:rsidRPr="000C31EE">
              <w:t>5.1</w:t>
            </w:r>
          </w:p>
        </w:tc>
        <w:tc>
          <w:tcPr>
            <w:tcW w:w="5678" w:type="dxa"/>
            <w:tcBorders>
              <w:top w:val="nil"/>
              <w:left w:val="nil"/>
              <w:bottom w:val="nil"/>
              <w:right w:val="nil"/>
            </w:tcBorders>
            <w:tcMar>
              <w:top w:w="0" w:type="dxa"/>
              <w:left w:w="62" w:type="dxa"/>
              <w:bottom w:w="0" w:type="dxa"/>
              <w:right w:w="62" w:type="dxa"/>
            </w:tcMar>
          </w:tcPr>
          <w:p w:rsidR="00000000" w:rsidP="000C31EE">
            <w:pPr>
              <w:pStyle w:val="BodyText"/>
              <w:rPr>
                <w:lang w:val="en-NZ"/>
              </w:rPr>
            </w:pPr>
            <w:r w:rsidRPr="000C31EE">
              <w:t xml:space="preserve">Establish safe working environment for mechanical surface preparation according to regulatory requirements </w:t>
            </w:r>
            <w:r w:rsidRPr="000C31EE">
              <w:t>and procedures</w:t>
            </w:r>
          </w:p>
        </w:tc>
      </w:tr>
      <w:tr w:rsidTr="000C31E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C31EE">
            <w:pPr>
              <w:pStyle w:val="BodyText"/>
              <w:rPr>
                <w:lang w:val="en-NZ"/>
              </w:rPr>
            </w:pPr>
            <w:r w:rsidRPr="000C31EE">
              <w:t>5.2</w:t>
            </w:r>
          </w:p>
        </w:tc>
        <w:tc>
          <w:tcPr>
            <w:tcW w:w="5678" w:type="dxa"/>
            <w:tcBorders>
              <w:top w:val="nil"/>
              <w:left w:val="nil"/>
              <w:bottom w:val="nil"/>
              <w:right w:val="nil"/>
            </w:tcBorders>
            <w:tcMar>
              <w:top w:w="0" w:type="dxa"/>
              <w:left w:w="62" w:type="dxa"/>
              <w:bottom w:w="0" w:type="dxa"/>
              <w:right w:w="62" w:type="dxa"/>
            </w:tcMar>
          </w:tcPr>
          <w:p w:rsidR="00000000" w:rsidP="000C31EE">
            <w:pPr>
              <w:pStyle w:val="BodyText"/>
              <w:rPr>
                <w:lang w:val="en-NZ"/>
              </w:rPr>
            </w:pPr>
            <w:r w:rsidRPr="000C31EE">
              <w:t>Prepare surfaces using mechanical means</w:t>
            </w:r>
          </w:p>
        </w:tc>
      </w:tr>
      <w:tr w:rsidTr="000C31E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C31EE">
            <w:pPr>
              <w:pStyle w:val="BodyText"/>
              <w:rPr>
                <w:lang w:val="en-NZ"/>
              </w:rPr>
            </w:pPr>
            <w:r w:rsidRPr="000C31EE">
              <w:t>5.3</w:t>
            </w:r>
          </w:p>
        </w:tc>
        <w:tc>
          <w:tcPr>
            <w:tcW w:w="5678" w:type="dxa"/>
            <w:tcBorders>
              <w:top w:val="nil"/>
              <w:left w:val="nil"/>
              <w:bottom w:val="nil"/>
              <w:right w:val="nil"/>
            </w:tcBorders>
            <w:tcMar>
              <w:top w:w="0" w:type="dxa"/>
              <w:left w:w="62" w:type="dxa"/>
              <w:bottom w:w="0" w:type="dxa"/>
              <w:right w:w="62" w:type="dxa"/>
            </w:tcMar>
          </w:tcPr>
          <w:p w:rsidR="00000000" w:rsidP="000C31EE">
            <w:pPr>
              <w:pStyle w:val="BodyText"/>
              <w:rPr>
                <w:lang w:val="en-NZ"/>
              </w:rPr>
            </w:pPr>
            <w:r w:rsidRPr="000C31EE">
              <w:t>Clean mechanical equipment and check for damage and operational faults, in accordance with procedures</w:t>
            </w:r>
          </w:p>
        </w:tc>
      </w:tr>
      <w:tr w:rsidTr="000C31E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C31EE">
            <w:pPr>
              <w:pStyle w:val="BodyText"/>
              <w:rPr>
                <w:lang w:val="en-NZ"/>
              </w:rPr>
            </w:pPr>
            <w:r w:rsidRPr="000C31EE">
              <w:t>5.4</w:t>
            </w:r>
          </w:p>
        </w:tc>
        <w:tc>
          <w:tcPr>
            <w:tcW w:w="5678" w:type="dxa"/>
            <w:tcBorders>
              <w:top w:val="nil"/>
              <w:left w:val="nil"/>
              <w:bottom w:val="nil"/>
              <w:right w:val="nil"/>
            </w:tcBorders>
            <w:tcMar>
              <w:top w:w="0" w:type="dxa"/>
              <w:left w:w="62" w:type="dxa"/>
              <w:bottom w:w="0" w:type="dxa"/>
              <w:right w:w="62" w:type="dxa"/>
            </w:tcMar>
          </w:tcPr>
          <w:p w:rsidR="00000000" w:rsidP="000C31EE">
            <w:pPr>
              <w:pStyle w:val="BodyText"/>
              <w:rPr>
                <w:lang w:val="en-NZ"/>
              </w:rPr>
            </w:pPr>
            <w:r w:rsidRPr="000C31EE">
              <w:t>Record any equipment faults and report in accordance with SOPs</w:t>
            </w:r>
          </w:p>
        </w:tc>
      </w:tr>
      <w:tr w:rsidTr="000C31EE">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0C31EE">
            <w:pPr>
              <w:pStyle w:val="BodyText"/>
              <w:rPr>
                <w:lang w:val="en-NZ"/>
              </w:rPr>
            </w:pPr>
          </w:p>
        </w:tc>
      </w:tr>
      <w:tr w:rsidTr="000C31E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0C31EE" w:rsidP="000C31EE">
            <w:pPr>
              <w:pStyle w:val="BodyText"/>
            </w:pPr>
            <w:r w:rsidRPr="000C31EE">
              <w:t>6</w:t>
            </w:r>
          </w:p>
        </w:tc>
        <w:tc>
          <w:tcPr>
            <w:tcW w:w="1986" w:type="dxa"/>
            <w:vMerge w:val="restart"/>
            <w:tcBorders>
              <w:top w:val="nil"/>
              <w:left w:val="nil"/>
              <w:bottom w:val="nil"/>
              <w:right w:val="nil"/>
            </w:tcBorders>
            <w:tcMar>
              <w:top w:w="0" w:type="dxa"/>
              <w:left w:w="62" w:type="dxa"/>
              <w:bottom w:w="0" w:type="dxa"/>
              <w:right w:w="62" w:type="dxa"/>
            </w:tcMar>
          </w:tcPr>
          <w:p w:rsidR="00000000" w:rsidP="000C31EE">
            <w:pPr>
              <w:pStyle w:val="BodyText"/>
              <w:rPr>
                <w:lang w:val="en-NZ"/>
              </w:rPr>
            </w:pPr>
            <w:r w:rsidRPr="000C31EE">
              <w:rPr>
                <w:rStyle w:val="SpecialBold"/>
              </w:rPr>
              <w:t>Inspect prepared surface</w:t>
            </w:r>
          </w:p>
        </w:tc>
        <w:tc>
          <w:tcPr>
            <w:tcW w:w="779" w:type="dxa"/>
            <w:tcBorders>
              <w:top w:val="nil"/>
              <w:left w:val="nil"/>
              <w:bottom w:val="nil"/>
              <w:right w:val="nil"/>
            </w:tcBorders>
            <w:tcMar>
              <w:top w:w="0" w:type="dxa"/>
              <w:left w:w="62" w:type="dxa"/>
              <w:bottom w:w="0" w:type="dxa"/>
              <w:right w:w="62" w:type="dxa"/>
            </w:tcMar>
          </w:tcPr>
          <w:p w:rsidR="00000000" w:rsidP="000C31EE">
            <w:pPr>
              <w:pStyle w:val="BodyText"/>
              <w:rPr>
                <w:lang w:val="en-NZ"/>
              </w:rPr>
            </w:pPr>
            <w:r w:rsidRPr="000C31EE">
              <w:t>6.1</w:t>
            </w:r>
          </w:p>
        </w:tc>
        <w:tc>
          <w:tcPr>
            <w:tcW w:w="5678" w:type="dxa"/>
            <w:tcBorders>
              <w:top w:val="nil"/>
              <w:left w:val="nil"/>
              <w:bottom w:val="nil"/>
              <w:right w:val="nil"/>
            </w:tcBorders>
            <w:tcMar>
              <w:top w:w="0" w:type="dxa"/>
              <w:left w:w="62" w:type="dxa"/>
              <w:bottom w:w="0" w:type="dxa"/>
              <w:right w:w="62" w:type="dxa"/>
            </w:tcMar>
          </w:tcPr>
          <w:p w:rsidR="00000000" w:rsidP="000C31EE">
            <w:pPr>
              <w:pStyle w:val="BodyText"/>
              <w:rPr>
                <w:lang w:val="en-NZ"/>
              </w:rPr>
            </w:pPr>
            <w:r w:rsidRPr="000C31EE">
              <w:t>Check surface preparation for cleanliness and conformance to specifications</w:t>
            </w:r>
          </w:p>
        </w:tc>
      </w:tr>
      <w:tr w:rsidTr="000C31E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C31EE">
            <w:pPr>
              <w:pStyle w:val="BodyText"/>
              <w:rPr>
                <w:lang w:val="en-NZ"/>
              </w:rPr>
            </w:pPr>
            <w:r w:rsidRPr="000C31EE">
              <w:t>6.2</w:t>
            </w:r>
          </w:p>
        </w:tc>
        <w:tc>
          <w:tcPr>
            <w:tcW w:w="5678" w:type="dxa"/>
            <w:tcBorders>
              <w:top w:val="nil"/>
              <w:left w:val="nil"/>
              <w:bottom w:val="nil"/>
              <w:right w:val="nil"/>
            </w:tcBorders>
            <w:tcMar>
              <w:top w:w="0" w:type="dxa"/>
              <w:left w:w="62" w:type="dxa"/>
              <w:bottom w:w="0" w:type="dxa"/>
              <w:right w:w="62" w:type="dxa"/>
            </w:tcMar>
          </w:tcPr>
          <w:p w:rsidR="00000000" w:rsidRPr="000C31EE" w:rsidP="000C31EE">
            <w:pPr>
              <w:pStyle w:val="BodyText"/>
            </w:pPr>
            <w:r w:rsidRPr="000C31EE">
              <w:t>Rectify faults or defects where required and record/report in accordance with procedures</w:t>
            </w:r>
          </w:p>
        </w:tc>
      </w:tr>
    </w:tbl>
    <w:p w:rsidR="00000000" w:rsidRPr="000C31EE" w:rsidP="000C31EE">
      <w:pPr>
        <w:pStyle w:val="BodyText"/>
      </w:pPr>
    </w:p>
    <w:p w:rsidR="00000000" w:rsidRPr="000C31EE" w:rsidP="000C31EE">
      <w:pPr>
        <w:pStyle w:val="AllowPageBreak"/>
      </w:pPr>
    </w:p>
    <w:p w:rsidR="00000000" w:rsidRPr="000C31EE" w:rsidP="000C31EE">
      <w:pPr>
        <w:pStyle w:val="Heading1"/>
      </w:pPr>
      <w:bookmarkStart w:id="6" w:name="O_948105"/>
      <w:bookmarkEnd w:id="6"/>
      <w:r w:rsidRPr="000C31EE">
        <w:t>Foundation Skills</w:t>
      </w:r>
    </w:p>
    <w:p w:rsidR="00000000" w:rsidRPr="000C31EE" w:rsidP="004D5EDD">
      <w:pPr>
        <w:pStyle w:val="BodyText"/>
      </w:pPr>
      <w:r w:rsidRPr="000C31EE">
        <w:t>This section describes those required skills (r</w:t>
      </w:r>
      <w:r w:rsidRPr="000C31EE">
        <w:t xml:space="preserve">eading, writing, oral communication and numeracy) that are essential to workplace performance in this unit of competency.  </w:t>
      </w:r>
    </w:p>
    <w:p w:rsidR="00000000" w:rsidRPr="000C31EE" w:rsidP="004D5EDD">
      <w:pPr>
        <w:pStyle w:val="BodyText"/>
      </w:pPr>
      <w:r w:rsidRPr="000C31EE">
        <w:t>Foundation skills essential to performance are explicit in the performance criteria of this unit of competency.</w:t>
      </w:r>
    </w:p>
    <w:p w:rsidR="00000000" w:rsidRPr="000C31EE" w:rsidP="000C31EE">
      <w:pPr>
        <w:pStyle w:val="Heading1"/>
      </w:pPr>
      <w:bookmarkStart w:id="7" w:name="O_948104"/>
      <w:bookmarkEnd w:id="7"/>
      <w:r w:rsidRPr="000C31EE">
        <w:t>Range of Conditions</w:t>
      </w:r>
    </w:p>
    <w:tbl>
      <w:tblPr>
        <w:tblW w:w="9286" w:type="dxa"/>
        <w:tblLayout w:type="fixed"/>
        <w:tblCellMar>
          <w:left w:w="62" w:type="dxa"/>
          <w:right w:w="62" w:type="dxa"/>
        </w:tblCellMar>
        <w:tblLook w:val="0000"/>
      </w:tblPr>
      <w:tblGrid>
        <w:gridCol w:w="2868"/>
        <w:gridCol w:w="6418"/>
      </w:tblGrid>
      <w:tr w:rsidTr="000C31EE">
        <w:tblPrEx>
          <w:tblW w:w="9286" w:type="dxa"/>
          <w:tblLayout w:type="fixed"/>
          <w:tblCellMar>
            <w:left w:w="62" w:type="dxa"/>
            <w:right w:w="62" w:type="dxa"/>
          </w:tblCellMar>
          <w:tblLook w:val="0000"/>
        </w:tblPrEx>
        <w:trPr>
          <w:tblHeader/>
        </w:trPr>
        <w:tc>
          <w:tcPr>
            <w:tcW w:w="9286" w:type="dxa"/>
            <w:gridSpan w:val="2"/>
            <w:tcBorders>
              <w:top w:val="nil"/>
              <w:left w:val="nil"/>
              <w:bottom w:val="nil"/>
              <w:right w:val="nil"/>
            </w:tcBorders>
            <w:tcMar>
              <w:top w:w="0" w:type="dxa"/>
              <w:left w:w="62" w:type="dxa"/>
              <w:bottom w:w="0" w:type="dxa"/>
              <w:right w:w="62" w:type="dxa"/>
            </w:tcMar>
          </w:tcPr>
          <w:p w:rsidR="00000000" w:rsidP="000C31EE">
            <w:pPr>
              <w:pStyle w:val="BodyText"/>
              <w:rPr>
                <w:lang w:val="en-NZ"/>
              </w:rPr>
            </w:pPr>
            <w:r w:rsidRPr="000C31EE">
              <w:t>This field allows for different work environments and conditions that may affect performance. Essential operating conditions that may be present (depending on the work situation, accessibility of the item, and local industry and regiona</w:t>
            </w:r>
            <w:r w:rsidRPr="000C31EE">
              <w:t>l contexts) are included.</w:t>
            </w:r>
          </w:p>
        </w:tc>
      </w:tr>
      <w:tr w:rsidTr="000C31EE">
        <w:tblPrEx>
          <w:tblW w:w="9286" w:type="dxa"/>
          <w:tblLayout w:type="fixed"/>
          <w:tblCellMar>
            <w:left w:w="62" w:type="dxa"/>
            <w:right w:w="62" w:type="dxa"/>
          </w:tblCellMar>
          <w:tblLook w:val="0000"/>
        </w:tblPrEx>
        <w:tc>
          <w:tcPr>
            <w:tcW w:w="2868" w:type="dxa"/>
            <w:tcBorders>
              <w:top w:val="nil"/>
              <w:left w:val="nil"/>
              <w:bottom w:val="nil"/>
              <w:right w:val="nil"/>
            </w:tcBorders>
            <w:tcMar>
              <w:top w:w="0" w:type="dxa"/>
              <w:left w:w="62" w:type="dxa"/>
              <w:bottom w:w="0" w:type="dxa"/>
              <w:right w:w="62" w:type="dxa"/>
            </w:tcMar>
          </w:tcPr>
          <w:p w:rsidR="00000000" w:rsidP="000C31EE">
            <w:pPr>
              <w:pStyle w:val="BodyText"/>
              <w:rPr>
                <w:lang w:val="en-NZ"/>
              </w:rPr>
            </w:pPr>
            <w:r w:rsidRPr="000C31EE">
              <w:rPr>
                <w:rStyle w:val="SpecialBold"/>
              </w:rPr>
              <w:t>Surface preparation includes the following:</w:t>
            </w:r>
          </w:p>
        </w:tc>
        <w:tc>
          <w:tcPr>
            <w:tcW w:w="6418" w:type="dxa"/>
            <w:tcBorders>
              <w:top w:val="nil"/>
              <w:left w:val="nil"/>
              <w:bottom w:val="nil"/>
              <w:right w:val="nil"/>
            </w:tcBorders>
            <w:tcMar>
              <w:top w:w="0" w:type="dxa"/>
              <w:left w:w="62" w:type="dxa"/>
              <w:bottom w:w="0" w:type="dxa"/>
              <w:right w:w="62" w:type="dxa"/>
            </w:tcMar>
          </w:tcPr>
          <w:p w:rsidR="00000000" w:rsidRPr="000C31EE" w:rsidP="000C31EE">
            <w:pPr>
              <w:pStyle w:val="ListBullet"/>
            </w:pPr>
            <w:r w:rsidRPr="000C31EE">
              <w:t>new surfaces and restoration work</w:t>
            </w:r>
          </w:p>
          <w:p w:rsidR="00000000" w:rsidP="000C31EE">
            <w:pPr>
              <w:pStyle w:val="BodyText"/>
              <w:rPr>
                <w:lang w:val="en-NZ"/>
              </w:rPr>
            </w:pPr>
          </w:p>
        </w:tc>
      </w:tr>
      <w:tr w:rsidTr="000C31EE">
        <w:tblPrEx>
          <w:tblW w:w="9286" w:type="dxa"/>
          <w:tblLayout w:type="fixed"/>
          <w:tblCellMar>
            <w:left w:w="62" w:type="dxa"/>
            <w:right w:w="62" w:type="dxa"/>
          </w:tblCellMar>
          <w:tblLook w:val="0000"/>
        </w:tblPrEx>
        <w:tc>
          <w:tcPr>
            <w:tcW w:w="2868" w:type="dxa"/>
            <w:tcBorders>
              <w:top w:val="nil"/>
              <w:left w:val="nil"/>
              <w:bottom w:val="nil"/>
              <w:right w:val="nil"/>
            </w:tcBorders>
            <w:tcMar>
              <w:top w:w="0" w:type="dxa"/>
              <w:left w:w="62" w:type="dxa"/>
              <w:bottom w:w="0" w:type="dxa"/>
              <w:right w:w="62" w:type="dxa"/>
            </w:tcMar>
          </w:tcPr>
          <w:p w:rsidR="00000000" w:rsidP="000C31EE">
            <w:pPr>
              <w:pStyle w:val="BodyText"/>
              <w:rPr>
                <w:lang w:val="en-NZ"/>
              </w:rPr>
            </w:pPr>
            <w:r w:rsidRPr="000C31EE">
              <w:rPr>
                <w:rStyle w:val="SpecialBold"/>
              </w:rPr>
              <w:t>Solvents include one (1) or more of the following:</w:t>
            </w:r>
          </w:p>
        </w:tc>
        <w:tc>
          <w:tcPr>
            <w:tcW w:w="6418" w:type="dxa"/>
            <w:tcBorders>
              <w:top w:val="nil"/>
              <w:left w:val="nil"/>
              <w:bottom w:val="nil"/>
              <w:right w:val="nil"/>
            </w:tcBorders>
            <w:tcMar>
              <w:top w:w="0" w:type="dxa"/>
              <w:left w:w="62" w:type="dxa"/>
              <w:bottom w:w="0" w:type="dxa"/>
              <w:right w:w="62" w:type="dxa"/>
            </w:tcMar>
          </w:tcPr>
          <w:p w:rsidR="00000000" w:rsidRPr="000C31EE" w:rsidP="000C31EE">
            <w:pPr>
              <w:pStyle w:val="ListBullet"/>
            </w:pPr>
            <w:r w:rsidRPr="000C31EE">
              <w:t>acids</w:t>
            </w:r>
          </w:p>
          <w:p w:rsidR="00000000" w:rsidRPr="000C31EE" w:rsidP="000C31EE">
            <w:pPr>
              <w:pStyle w:val="ListBullet"/>
            </w:pPr>
            <w:r w:rsidRPr="000C31EE">
              <w:t xml:space="preserve">chlorinated solvents </w:t>
            </w:r>
          </w:p>
          <w:p w:rsidR="00000000" w:rsidRPr="000C31EE" w:rsidP="000C31EE">
            <w:pPr>
              <w:pStyle w:val="ListBullet"/>
            </w:pPr>
            <w:r w:rsidRPr="000C31EE">
              <w:t xml:space="preserve">hydrocarbons </w:t>
            </w:r>
          </w:p>
          <w:p w:rsidR="00000000" w:rsidP="000C31EE">
            <w:pPr>
              <w:pStyle w:val="BodyText"/>
              <w:rPr>
                <w:lang w:val="en-NZ"/>
              </w:rPr>
            </w:pPr>
          </w:p>
        </w:tc>
      </w:tr>
      <w:tr w:rsidTr="000C31EE">
        <w:tblPrEx>
          <w:tblW w:w="9286" w:type="dxa"/>
          <w:tblLayout w:type="fixed"/>
          <w:tblCellMar>
            <w:left w:w="62" w:type="dxa"/>
            <w:right w:w="62" w:type="dxa"/>
          </w:tblCellMar>
          <w:tblLook w:val="0000"/>
        </w:tblPrEx>
        <w:tc>
          <w:tcPr>
            <w:tcW w:w="2868" w:type="dxa"/>
            <w:tcBorders>
              <w:top w:val="nil"/>
              <w:left w:val="nil"/>
              <w:bottom w:val="nil"/>
              <w:right w:val="nil"/>
            </w:tcBorders>
            <w:tcMar>
              <w:top w:w="0" w:type="dxa"/>
              <w:left w:w="62" w:type="dxa"/>
              <w:bottom w:w="0" w:type="dxa"/>
              <w:right w:w="62" w:type="dxa"/>
            </w:tcMar>
          </w:tcPr>
          <w:p w:rsidR="00000000" w:rsidP="000C31EE">
            <w:pPr>
              <w:pStyle w:val="BodyText"/>
              <w:rPr>
                <w:lang w:val="en-NZ"/>
              </w:rPr>
            </w:pPr>
            <w:r w:rsidRPr="000C31EE">
              <w:rPr>
                <w:rStyle w:val="SpecialBold"/>
              </w:rPr>
              <w:t>Solvent application methods include one (1) or more of the following:</w:t>
            </w:r>
          </w:p>
        </w:tc>
        <w:tc>
          <w:tcPr>
            <w:tcW w:w="6418" w:type="dxa"/>
            <w:tcBorders>
              <w:top w:val="nil"/>
              <w:left w:val="nil"/>
              <w:bottom w:val="nil"/>
              <w:right w:val="nil"/>
            </w:tcBorders>
            <w:tcMar>
              <w:top w:w="0" w:type="dxa"/>
              <w:left w:w="62" w:type="dxa"/>
              <w:bottom w:w="0" w:type="dxa"/>
              <w:right w:w="62" w:type="dxa"/>
            </w:tcMar>
          </w:tcPr>
          <w:p w:rsidR="00000000" w:rsidRPr="000C31EE" w:rsidP="000C31EE">
            <w:pPr>
              <w:pStyle w:val="ListBullet"/>
            </w:pPr>
            <w:r w:rsidRPr="000C31EE">
              <w:t>spraying</w:t>
            </w:r>
          </w:p>
          <w:p w:rsidR="00000000" w:rsidRPr="000C31EE" w:rsidP="000C31EE">
            <w:pPr>
              <w:pStyle w:val="ListBullet"/>
            </w:pPr>
            <w:r w:rsidRPr="000C31EE">
              <w:t>wiping</w:t>
            </w:r>
          </w:p>
          <w:p w:rsidR="00000000" w:rsidRPr="000C31EE" w:rsidP="000C31EE">
            <w:pPr>
              <w:pStyle w:val="ListBullet"/>
            </w:pPr>
            <w:r w:rsidRPr="000C31EE">
              <w:t>brushing</w:t>
            </w:r>
          </w:p>
          <w:p w:rsidR="00000000" w:rsidRPr="000C31EE" w:rsidP="000C31EE">
            <w:pPr>
              <w:pStyle w:val="ListBullet"/>
            </w:pPr>
            <w:r w:rsidRPr="000C31EE">
              <w:t xml:space="preserve">vapour degreasing </w:t>
            </w:r>
          </w:p>
          <w:p w:rsidR="00000000" w:rsidP="000C31EE">
            <w:pPr>
              <w:pStyle w:val="BodyText"/>
              <w:rPr>
                <w:lang w:val="en-NZ"/>
              </w:rPr>
            </w:pPr>
          </w:p>
        </w:tc>
      </w:tr>
      <w:tr w:rsidTr="000C31EE">
        <w:tblPrEx>
          <w:tblW w:w="9286" w:type="dxa"/>
          <w:tblLayout w:type="fixed"/>
          <w:tblCellMar>
            <w:left w:w="62" w:type="dxa"/>
            <w:right w:w="62" w:type="dxa"/>
          </w:tblCellMar>
          <w:tblLook w:val="0000"/>
        </w:tblPrEx>
        <w:tc>
          <w:tcPr>
            <w:tcW w:w="2868" w:type="dxa"/>
            <w:tcBorders>
              <w:top w:val="nil"/>
              <w:left w:val="nil"/>
              <w:bottom w:val="nil"/>
              <w:right w:val="nil"/>
            </w:tcBorders>
            <w:tcMar>
              <w:top w:w="0" w:type="dxa"/>
              <w:left w:w="62" w:type="dxa"/>
              <w:bottom w:w="0" w:type="dxa"/>
              <w:right w:w="62" w:type="dxa"/>
            </w:tcMar>
          </w:tcPr>
          <w:p w:rsidR="00000000" w:rsidP="000C31EE">
            <w:pPr>
              <w:pStyle w:val="BodyText"/>
              <w:rPr>
                <w:lang w:val="en-NZ"/>
              </w:rPr>
            </w:pPr>
            <w:r w:rsidRPr="000C31EE">
              <w:rPr>
                <w:rStyle w:val="SpecialBold"/>
              </w:rPr>
              <w:t>Mechanical equipment includes one (1) or more of the following:</w:t>
            </w:r>
          </w:p>
        </w:tc>
        <w:tc>
          <w:tcPr>
            <w:tcW w:w="6418" w:type="dxa"/>
            <w:tcBorders>
              <w:top w:val="nil"/>
              <w:left w:val="nil"/>
              <w:bottom w:val="nil"/>
              <w:right w:val="nil"/>
            </w:tcBorders>
            <w:tcMar>
              <w:top w:w="0" w:type="dxa"/>
              <w:left w:w="62" w:type="dxa"/>
              <w:bottom w:w="0" w:type="dxa"/>
              <w:right w:w="62" w:type="dxa"/>
            </w:tcMar>
          </w:tcPr>
          <w:p w:rsidR="00000000" w:rsidRPr="000C31EE" w:rsidP="000C31EE">
            <w:pPr>
              <w:pStyle w:val="ListBullet"/>
            </w:pPr>
            <w:r w:rsidRPr="000C31EE">
              <w:t>linishers</w:t>
            </w:r>
          </w:p>
          <w:p w:rsidR="00000000" w:rsidRPr="000C31EE" w:rsidP="000C31EE">
            <w:pPr>
              <w:pStyle w:val="ListBullet"/>
            </w:pPr>
            <w:r w:rsidRPr="000C31EE">
              <w:t>grinders</w:t>
            </w:r>
          </w:p>
          <w:p w:rsidR="00000000" w:rsidRPr="000C31EE" w:rsidP="000C31EE">
            <w:pPr>
              <w:pStyle w:val="ListBullet"/>
            </w:pPr>
            <w:r w:rsidRPr="000C31EE">
              <w:t>polishers</w:t>
            </w:r>
          </w:p>
          <w:p w:rsidR="00000000" w:rsidRPr="000C31EE" w:rsidP="000C31EE">
            <w:pPr>
              <w:pStyle w:val="ListBullet"/>
            </w:pPr>
            <w:r w:rsidRPr="000C31EE">
              <w:t>sanders</w:t>
            </w:r>
          </w:p>
          <w:p w:rsidR="00000000" w:rsidRPr="000C31EE" w:rsidP="000C31EE">
            <w:pPr>
              <w:pStyle w:val="ListBullet"/>
            </w:pPr>
            <w:r w:rsidRPr="000C31EE">
              <w:t>blast device</w:t>
            </w:r>
          </w:p>
          <w:p w:rsidR="00000000" w:rsidRPr="000C31EE" w:rsidP="000C31EE">
            <w:pPr>
              <w:pStyle w:val="ListBullet"/>
            </w:pPr>
            <w:r w:rsidRPr="000C31EE">
              <w:t>enclosures</w:t>
            </w:r>
          </w:p>
          <w:p w:rsidR="00000000" w:rsidRPr="000C31EE" w:rsidP="000C31EE">
            <w:pPr>
              <w:pStyle w:val="ListBullet"/>
            </w:pPr>
            <w:r w:rsidRPr="000C31EE">
              <w:t xml:space="preserve">air grinders </w:t>
            </w:r>
          </w:p>
          <w:p w:rsidR="00000000" w:rsidP="000C31EE">
            <w:pPr>
              <w:pStyle w:val="BodyText"/>
              <w:rPr>
                <w:lang w:val="en-NZ"/>
              </w:rPr>
            </w:pPr>
          </w:p>
        </w:tc>
      </w:tr>
      <w:tr w:rsidTr="000C31EE">
        <w:tblPrEx>
          <w:tblW w:w="9286" w:type="dxa"/>
          <w:tblLayout w:type="fixed"/>
          <w:tblCellMar>
            <w:left w:w="62" w:type="dxa"/>
            <w:right w:w="62" w:type="dxa"/>
          </w:tblCellMar>
          <w:tblLook w:val="0000"/>
        </w:tblPrEx>
        <w:tc>
          <w:tcPr>
            <w:tcW w:w="2868" w:type="dxa"/>
            <w:tcBorders>
              <w:top w:val="nil"/>
              <w:left w:val="nil"/>
              <w:bottom w:val="nil"/>
              <w:right w:val="nil"/>
            </w:tcBorders>
            <w:tcMar>
              <w:top w:w="0" w:type="dxa"/>
              <w:left w:w="62" w:type="dxa"/>
              <w:bottom w:w="0" w:type="dxa"/>
              <w:right w:w="62" w:type="dxa"/>
            </w:tcMar>
          </w:tcPr>
          <w:p w:rsidR="00000000" w:rsidP="000C31EE">
            <w:pPr>
              <w:pStyle w:val="BodyText"/>
              <w:rPr>
                <w:lang w:val="en-NZ"/>
              </w:rPr>
            </w:pPr>
            <w:r w:rsidRPr="000C31EE">
              <w:rPr>
                <w:rStyle w:val="SpecialBold"/>
              </w:rPr>
              <w:t>Consumables include one (1) or more of the following:</w:t>
            </w:r>
          </w:p>
        </w:tc>
        <w:tc>
          <w:tcPr>
            <w:tcW w:w="6418" w:type="dxa"/>
            <w:tcBorders>
              <w:top w:val="nil"/>
              <w:left w:val="nil"/>
              <w:bottom w:val="nil"/>
              <w:right w:val="nil"/>
            </w:tcBorders>
            <w:tcMar>
              <w:top w:w="0" w:type="dxa"/>
              <w:left w:w="62" w:type="dxa"/>
              <w:bottom w:w="0" w:type="dxa"/>
              <w:right w:w="62" w:type="dxa"/>
            </w:tcMar>
          </w:tcPr>
          <w:p w:rsidR="00000000" w:rsidRPr="000C31EE" w:rsidP="000C31EE">
            <w:pPr>
              <w:pStyle w:val="ListBullet"/>
            </w:pPr>
            <w:r w:rsidRPr="000C31EE">
              <w:t>emery cloth/belts</w:t>
            </w:r>
          </w:p>
          <w:p w:rsidR="00000000" w:rsidRPr="000C31EE" w:rsidP="000C31EE">
            <w:pPr>
              <w:pStyle w:val="ListBullet"/>
            </w:pPr>
            <w:r w:rsidRPr="000C31EE">
              <w:t>grinding/sanding disks</w:t>
            </w:r>
          </w:p>
          <w:p w:rsidR="00000000" w:rsidRPr="000C31EE" w:rsidP="000C31EE">
            <w:pPr>
              <w:pStyle w:val="ListBullet"/>
            </w:pPr>
            <w:r w:rsidRPr="000C31EE">
              <w:t xml:space="preserve">grinding accessories </w:t>
            </w:r>
          </w:p>
          <w:p w:rsidR="00000000" w:rsidRPr="000C31EE" w:rsidP="000C31EE">
            <w:pPr>
              <w:pStyle w:val="BodyText"/>
            </w:pPr>
          </w:p>
        </w:tc>
      </w:tr>
    </w:tbl>
    <w:p w:rsidR="00000000" w:rsidRPr="000C31EE" w:rsidP="000C31EE">
      <w:pPr>
        <w:pStyle w:val="BodyText"/>
      </w:pPr>
    </w:p>
    <w:p w:rsidR="00000000" w:rsidRPr="000C31EE" w:rsidP="000C31EE">
      <w:pPr>
        <w:pStyle w:val="AllowPageBreak"/>
      </w:pPr>
    </w:p>
    <w:p w:rsidR="00000000" w:rsidRPr="000C31EE" w:rsidP="000C31EE">
      <w:pPr>
        <w:pStyle w:val="Heading1"/>
      </w:pPr>
      <w:bookmarkStart w:id="8" w:name="O_948103"/>
      <w:bookmarkEnd w:id="8"/>
      <w:r w:rsidRPr="000C31EE">
        <w:t>Unit Mapping Information</w:t>
      </w:r>
    </w:p>
    <w:p w:rsidR="00000000" w:rsidRPr="000C31EE" w:rsidP="004D5EDD">
      <w:pPr>
        <w:pStyle w:val="BodyText"/>
      </w:pPr>
      <w:r w:rsidRPr="000C31EE">
        <w:t>Release 1. Supersedes and is equivalent to MEM08011B Prepare surfaces usi</w:t>
      </w:r>
      <w:r w:rsidRPr="000C31EE">
        <w:t>ng solvents and/or mechanical means</w:t>
      </w:r>
    </w:p>
    <w:p w:rsidR="00000000" w:rsidRPr="000C31EE" w:rsidP="000C31EE">
      <w:pPr>
        <w:pStyle w:val="Heading1"/>
      </w:pPr>
      <w:bookmarkStart w:id="9" w:name="O_948096"/>
      <w:bookmarkEnd w:id="9"/>
      <w:r w:rsidRPr="000C31EE">
        <w:t>Links</w:t>
      </w:r>
    </w:p>
    <w:p w:rsidR="00000000" w:rsidRPr="000C31EE" w:rsidP="004D5EDD">
      <w:pPr>
        <w:pStyle w:val="BodyText"/>
      </w:pPr>
      <w:r w:rsidRPr="000C31EE">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AA2AEC">
        <w:rPr>
          <w:rStyle w:val="Hyperlink"/>
        </w:rPr>
        <w:t>https://vetnet.gov.au/Pages/TrainingDocs.aspx?q=b7050d37-5fd0-4740-8f7d-3b7a49c10bb2</w:t>
      </w:r>
      <w:r>
        <w:fldChar w:fldCharType="end"/>
      </w:r>
    </w:p>
    <w:p w:rsidR="00000000" w:rsidRPr="000C31EE" w:rsidP="000C31EE"/>
    <w:sectPr w:rsidSect="000C31E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31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31EE" w:rsidRPr="004D5EDD" w:rsidP="004D5ED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31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5EDD" w:rsidP="000C31E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D5EDD" w:rsidP="000C31EE">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D5EDD" w:rsidP="000C31E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31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5ED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C31EE" w:rsidRPr="004D5EDD" w:rsidP="004D5ED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31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5EDD" w:rsidRPr="002D2AF8" w:rsidP="000C31EE">
    <w:pPr>
      <w:pStyle w:val="Header"/>
      <w:framePr w:wrap="around"/>
    </w:pPr>
    <w:r>
      <w:fldChar w:fldCharType="begin"/>
    </w:r>
    <w:r>
      <w:instrText xml:space="preserve"> TITLE   \* MERGEFORMAT </w:instrText>
    </w:r>
    <w:r>
      <w:fldChar w:fldCharType="separate"/>
    </w:r>
    <w:r>
      <w:t>MEM08011 Prepare surfaces using solvents and/or mechanical means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4D5EDD" w:rsidP="000C31E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5728BA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EFE3BD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31E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C31EE"/>
    <w:pPr>
      <w:spacing w:before="360" w:after="60"/>
      <w:outlineLvl w:val="0"/>
    </w:pPr>
    <w:rPr>
      <w:sz w:val="32"/>
    </w:rPr>
  </w:style>
  <w:style w:type="paragraph" w:styleId="Heading2">
    <w:name w:val="heading 2"/>
    <w:basedOn w:val="HeadingBase"/>
    <w:next w:val="BodyText"/>
    <w:link w:val="Heading2Char"/>
    <w:qFormat/>
    <w:rsid w:val="000C31EE"/>
    <w:pPr>
      <w:keepLines/>
      <w:spacing w:before="240" w:after="120"/>
      <w:outlineLvl w:val="1"/>
    </w:pPr>
    <w:rPr>
      <w:sz w:val="28"/>
      <w:szCs w:val="40"/>
    </w:rPr>
  </w:style>
  <w:style w:type="paragraph" w:styleId="Heading3">
    <w:name w:val="heading 3"/>
    <w:basedOn w:val="HeadingBase"/>
    <w:next w:val="BodyText"/>
    <w:link w:val="Heading3Char"/>
    <w:qFormat/>
    <w:rsid w:val="000C31EE"/>
    <w:pPr>
      <w:spacing w:before="180" w:after="120"/>
      <w:outlineLvl w:val="2"/>
    </w:pPr>
    <w:rPr>
      <w:spacing w:val="-10"/>
      <w:kern w:val="32"/>
    </w:rPr>
  </w:style>
  <w:style w:type="paragraph" w:styleId="Heading4">
    <w:name w:val="heading 4"/>
    <w:basedOn w:val="HeadingBase"/>
    <w:next w:val="BodyText"/>
    <w:link w:val="Heading4Char"/>
    <w:qFormat/>
    <w:rsid w:val="000C31EE"/>
    <w:pPr>
      <w:spacing w:before="160" w:after="120"/>
      <w:outlineLvl w:val="3"/>
    </w:pPr>
    <w:rPr>
      <w:sz w:val="22"/>
    </w:rPr>
  </w:style>
  <w:style w:type="paragraph" w:styleId="Heading5">
    <w:name w:val="heading 5"/>
    <w:basedOn w:val="HeadingBase"/>
    <w:next w:val="Normal"/>
    <w:link w:val="Heading5Char"/>
    <w:qFormat/>
    <w:rsid w:val="000C31EE"/>
    <w:pPr>
      <w:spacing w:before="80"/>
      <w:outlineLvl w:val="4"/>
    </w:pPr>
    <w:rPr>
      <w:color w:val="918585"/>
      <w:sz w:val="20"/>
    </w:rPr>
  </w:style>
  <w:style w:type="paragraph" w:styleId="Heading6">
    <w:name w:val="heading 6"/>
    <w:basedOn w:val="HeadingBase"/>
    <w:next w:val="Normal"/>
    <w:link w:val="Heading6Char"/>
    <w:qFormat/>
    <w:rsid w:val="000C31EE"/>
    <w:pPr>
      <w:spacing w:before="60"/>
      <w:outlineLvl w:val="5"/>
    </w:pPr>
    <w:rPr>
      <w:color w:val="918585"/>
      <w:sz w:val="20"/>
    </w:rPr>
  </w:style>
  <w:style w:type="paragraph" w:styleId="Heading7">
    <w:name w:val="heading 7"/>
    <w:basedOn w:val="Normal"/>
    <w:next w:val="Normal"/>
    <w:link w:val="Heading7Char"/>
    <w:qFormat/>
    <w:rsid w:val="000C31EE"/>
    <w:pPr>
      <w:ind w:left="720"/>
      <w:outlineLvl w:val="6"/>
    </w:pPr>
    <w:rPr>
      <w:i/>
    </w:rPr>
  </w:style>
  <w:style w:type="paragraph" w:styleId="Heading8">
    <w:name w:val="heading 8"/>
    <w:basedOn w:val="Normal"/>
    <w:next w:val="Normal"/>
    <w:link w:val="Heading8Char"/>
    <w:qFormat/>
    <w:rsid w:val="000C31EE"/>
    <w:pPr>
      <w:ind w:left="720"/>
      <w:outlineLvl w:val="7"/>
    </w:pPr>
    <w:rPr>
      <w:i/>
    </w:rPr>
  </w:style>
  <w:style w:type="paragraph" w:styleId="Heading9">
    <w:name w:val="heading 9"/>
    <w:basedOn w:val="Normal"/>
    <w:next w:val="Normal"/>
    <w:link w:val="Heading9Char"/>
    <w:qFormat/>
    <w:rsid w:val="000C31EE"/>
    <w:pPr>
      <w:ind w:left="720"/>
      <w:outlineLvl w:val="8"/>
    </w:pPr>
    <w:rPr>
      <w:i/>
    </w:rPr>
  </w:style>
  <w:style w:type="character" w:default="1" w:styleId="DefaultParagraphFont">
    <w:name w:val="Default Paragraph Font"/>
    <w:uiPriority w:val="1"/>
    <w:unhideWhenUsed/>
    <w:rsid w:val="000C31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31EE"/>
  </w:style>
  <w:style w:type="character" w:customStyle="1" w:styleId="Heading1Char">
    <w:name w:val="Heading 1 Char"/>
    <w:basedOn w:val="DefaultParagraphFont"/>
    <w:link w:val="Heading1"/>
    <w:rsid w:val="000C31EE"/>
    <w:rPr>
      <w:rFonts w:ascii="Times New Roman" w:eastAsia="Times New Roman" w:hAnsi="Times New Roman" w:cs="Times New Roman"/>
      <w:b/>
      <w:sz w:val="32"/>
      <w:szCs w:val="20"/>
      <w:lang w:eastAsia="en-US"/>
    </w:rPr>
  </w:style>
  <w:style w:type="paragraph" w:styleId="BodyText">
    <w:name w:val="Body Text"/>
    <w:basedOn w:val="Normal"/>
    <w:link w:val="BodyTextChar"/>
    <w:rsid w:val="000C31E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C31EE"/>
    <w:rPr>
      <w:rFonts w:ascii="Times New Roman" w:eastAsia="Times New Roman" w:hAnsi="Times New Roman" w:cs="Times New Roman"/>
      <w:sz w:val="24"/>
      <w:lang w:eastAsia="en-US"/>
    </w:rPr>
  </w:style>
  <w:style w:type="paragraph" w:styleId="ListBullet">
    <w:name w:val="List Bullet"/>
    <w:basedOn w:val="List"/>
    <w:rsid w:val="000C31EE"/>
    <w:pPr>
      <w:numPr>
        <w:numId w:val="11"/>
      </w:numPr>
      <w:tabs>
        <w:tab w:val="clear" w:pos="340"/>
      </w:tabs>
      <w:spacing w:before="40" w:after="40"/>
    </w:pPr>
  </w:style>
  <w:style w:type="character" w:customStyle="1" w:styleId="SpecialBold">
    <w:name w:val="Special Bold"/>
    <w:basedOn w:val="DefaultParagraphFont"/>
    <w:rsid w:val="000C31EE"/>
    <w:rPr>
      <w:b/>
      <w:spacing w:val="0"/>
    </w:rPr>
  </w:style>
  <w:style w:type="paragraph" w:customStyle="1" w:styleId="SuperHeading">
    <w:name w:val="SuperHeading"/>
    <w:basedOn w:val="Normal"/>
    <w:rsid w:val="000C31EE"/>
    <w:pPr>
      <w:spacing w:before="240" w:after="120"/>
      <w:outlineLvl w:val="0"/>
    </w:pPr>
    <w:rPr>
      <w:rFonts w:ascii="Times New Roman" w:hAnsi="Times New Roman"/>
      <w:b/>
      <w:sz w:val="32"/>
    </w:rPr>
  </w:style>
  <w:style w:type="paragraph" w:customStyle="1" w:styleId="AllowPageBreak">
    <w:name w:val="AllowPageBreak"/>
    <w:rsid w:val="000C31E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C31E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C31E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C31E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C31E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C31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31E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C31E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C31EE"/>
    <w:rPr>
      <w:rFonts w:ascii="Courier New" w:eastAsia="Times New Roman" w:hAnsi="Courier New" w:cs="Times New Roman"/>
      <w:i/>
      <w:szCs w:val="20"/>
      <w:lang w:eastAsia="en-US"/>
    </w:rPr>
  </w:style>
  <w:style w:type="paragraph" w:customStyle="1" w:styleId="HeadingBase">
    <w:name w:val="Heading Base"/>
    <w:rsid w:val="000C31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31EE"/>
    <w:pPr>
      <w:tabs>
        <w:tab w:val="right" w:leader="dot" w:pos="9072"/>
      </w:tabs>
      <w:ind w:left="567"/>
    </w:pPr>
    <w:rPr>
      <w:szCs w:val="22"/>
    </w:rPr>
  </w:style>
  <w:style w:type="paragraph" w:customStyle="1" w:styleId="TOCBase">
    <w:name w:val="TOC Base"/>
    <w:rsid w:val="000C31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31EE"/>
    <w:pPr>
      <w:tabs>
        <w:tab w:val="right" w:leader="dot" w:pos="9072"/>
      </w:tabs>
      <w:spacing w:before="40" w:after="40"/>
      <w:ind w:left="284"/>
    </w:pPr>
    <w:rPr>
      <w:rFonts w:ascii="Times New Roman" w:hAnsi="Times New Roman"/>
    </w:rPr>
  </w:style>
  <w:style w:type="paragraph" w:styleId="TOC1">
    <w:name w:val="toc 1"/>
    <w:basedOn w:val="TOCBase"/>
    <w:next w:val="Normal"/>
    <w:rsid w:val="000C31E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C31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C31EE"/>
    <w:rPr>
      <w:rFonts w:ascii="Times New Roman" w:eastAsia="Times New Roman" w:hAnsi="Times New Roman" w:cs="Times New Roman"/>
      <w:sz w:val="16"/>
      <w:lang w:eastAsia="en-US"/>
    </w:rPr>
  </w:style>
  <w:style w:type="paragraph" w:styleId="Title">
    <w:name w:val="Title"/>
    <w:basedOn w:val="HeadingBase"/>
    <w:link w:val="TitleChar"/>
    <w:qFormat/>
    <w:rsid w:val="000C31EE"/>
    <w:pPr>
      <w:spacing w:before="5040"/>
      <w:jc w:val="center"/>
    </w:pPr>
    <w:rPr>
      <w:sz w:val="48"/>
      <w:szCs w:val="72"/>
      <w:lang w:val="en-US"/>
    </w:rPr>
  </w:style>
  <w:style w:type="character" w:customStyle="1" w:styleId="TitleChar">
    <w:name w:val="Title Char"/>
    <w:basedOn w:val="DefaultParagraphFont"/>
    <w:link w:val="Title"/>
    <w:rsid w:val="000C31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31EE"/>
    <w:pPr>
      <w:tabs>
        <w:tab w:val="left" w:pos="3600"/>
        <w:tab w:val="left" w:pos="3958"/>
      </w:tabs>
    </w:pPr>
  </w:style>
  <w:style w:type="paragraph" w:styleId="List">
    <w:name w:val="List"/>
    <w:basedOn w:val="BodyText"/>
    <w:next w:val="BodyText"/>
    <w:rsid w:val="000C31EE"/>
    <w:pPr>
      <w:tabs>
        <w:tab w:val="left" w:pos="340"/>
      </w:tabs>
      <w:spacing w:before="60" w:after="60"/>
      <w:ind w:left="340" w:hanging="340"/>
    </w:pPr>
  </w:style>
  <w:style w:type="paragraph" w:customStyle="1" w:styleId="Note">
    <w:name w:val="Note"/>
    <w:basedOn w:val="BodyText"/>
    <w:rsid w:val="000C31E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C31EE"/>
    <w:pPr>
      <w:framePr w:wrap="auto" w:hAnchor="text" w:y="6049"/>
    </w:pPr>
    <w:rPr>
      <w:color w:val="000000"/>
      <w:sz w:val="40"/>
    </w:rPr>
  </w:style>
  <w:style w:type="paragraph" w:customStyle="1" w:styleId="TOCTitle">
    <w:name w:val="TOCTitle"/>
    <w:basedOn w:val="Heading1"/>
    <w:rsid w:val="000C31EE"/>
    <w:pPr>
      <w:spacing w:after="240"/>
      <w:jc w:val="center"/>
      <w:outlineLvl w:val="9"/>
    </w:pPr>
    <w:rPr>
      <w:caps/>
    </w:rPr>
  </w:style>
  <w:style w:type="paragraph" w:customStyle="1" w:styleId="Version">
    <w:name w:val="Version"/>
    <w:rsid w:val="000C31E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C31EE"/>
    <w:pPr>
      <w:numPr>
        <w:numId w:val="12"/>
      </w:numPr>
      <w:tabs>
        <w:tab w:val="clear" w:pos="680"/>
      </w:tabs>
    </w:pPr>
  </w:style>
  <w:style w:type="paragraph" w:styleId="Index1">
    <w:name w:val="index 1"/>
    <w:basedOn w:val="Normal"/>
    <w:next w:val="Normal"/>
    <w:semiHidden/>
    <w:rsid w:val="000C31EE"/>
    <w:pPr>
      <w:keepNext w:val="0"/>
      <w:tabs>
        <w:tab w:val="right" w:pos="4176"/>
      </w:tabs>
      <w:ind w:left="198" w:hanging="198"/>
    </w:pPr>
    <w:rPr>
      <w:rFonts w:ascii="Garamond" w:hAnsi="Garamond"/>
    </w:rPr>
  </w:style>
  <w:style w:type="paragraph" w:styleId="IndexHeading">
    <w:name w:val="index heading"/>
    <w:basedOn w:val="Normal"/>
    <w:next w:val="Index1"/>
    <w:semiHidden/>
    <w:rsid w:val="000C31EE"/>
    <w:pPr>
      <w:spacing w:before="120" w:after="120"/>
    </w:pPr>
    <w:rPr>
      <w:rFonts w:ascii="Arial" w:hAnsi="Arial"/>
      <w:b/>
      <w:color w:val="918585"/>
      <w:sz w:val="24"/>
    </w:rPr>
  </w:style>
  <w:style w:type="paragraph" w:styleId="Header">
    <w:name w:val="header"/>
    <w:basedOn w:val="Normal"/>
    <w:link w:val="HeaderChar"/>
    <w:rsid w:val="000C31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C31EE"/>
    <w:rPr>
      <w:rFonts w:ascii="Times New Roman" w:eastAsia="Times New Roman" w:hAnsi="Times New Roman" w:cs="Times New Roman"/>
      <w:sz w:val="16"/>
      <w:szCs w:val="20"/>
      <w:lang w:val="en-GB" w:eastAsia="en-US"/>
    </w:rPr>
  </w:style>
  <w:style w:type="paragraph" w:customStyle="1" w:styleId="Chapter">
    <w:name w:val="Chapter"/>
    <w:basedOn w:val="Normal"/>
    <w:rsid w:val="000C31EE"/>
    <w:pPr>
      <w:spacing w:before="240"/>
    </w:pPr>
    <w:rPr>
      <w:rFonts w:ascii="Times New Roman" w:hAnsi="Times New Roman"/>
      <w:smallCaps/>
      <w:spacing w:val="80"/>
      <w:sz w:val="28"/>
    </w:rPr>
  </w:style>
  <w:style w:type="paragraph" w:customStyle="1" w:styleId="InChapter">
    <w:name w:val="InChapter"/>
    <w:basedOn w:val="Heading3"/>
    <w:rsid w:val="000C31EE"/>
    <w:pPr>
      <w:spacing w:after="240"/>
      <w:outlineLvl w:val="9"/>
    </w:pPr>
    <w:rPr>
      <w:noProof/>
    </w:rPr>
  </w:style>
  <w:style w:type="paragraph" w:styleId="Index2">
    <w:name w:val="index 2"/>
    <w:basedOn w:val="Normal"/>
    <w:next w:val="Normal"/>
    <w:semiHidden/>
    <w:rsid w:val="000C31EE"/>
    <w:pPr>
      <w:tabs>
        <w:tab w:val="right" w:pos="4176"/>
      </w:tabs>
      <w:ind w:left="568" w:hanging="284"/>
    </w:pPr>
    <w:rPr>
      <w:rFonts w:ascii="Garamond" w:hAnsi="Garamond"/>
    </w:rPr>
  </w:style>
  <w:style w:type="paragraph" w:customStyle="1" w:styleId="Byline">
    <w:name w:val="Byline"/>
    <w:rsid w:val="000C31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31EE"/>
    <w:pPr>
      <w:tabs>
        <w:tab w:val="clear" w:pos="3600"/>
        <w:tab w:val="clear" w:pos="3958"/>
      </w:tabs>
      <w:jc w:val="right"/>
    </w:pPr>
  </w:style>
  <w:style w:type="character" w:styleId="Emphasis">
    <w:name w:val="Emphasis"/>
    <w:basedOn w:val="DefaultParagraphFont"/>
    <w:qFormat/>
    <w:rsid w:val="000C31EE"/>
    <w:rPr>
      <w:i/>
    </w:rPr>
  </w:style>
  <w:style w:type="paragraph" w:styleId="Caption">
    <w:name w:val="caption"/>
    <w:basedOn w:val="BodyText"/>
    <w:next w:val="Normal"/>
    <w:qFormat/>
    <w:rsid w:val="000C31EE"/>
    <w:pPr>
      <w:framePr w:w="2268" w:hSpace="181" w:vSpace="181" w:wrap="around" w:vAnchor="text" w:hAnchor="page" w:x="1135" w:y="285" w:anchorLock="1"/>
    </w:pPr>
    <w:rPr>
      <w:i/>
    </w:rPr>
  </w:style>
  <w:style w:type="paragraph" w:customStyle="1" w:styleId="MiniTOCTitle">
    <w:name w:val="MiniTOCTitle"/>
    <w:basedOn w:val="Heading4"/>
    <w:rsid w:val="000C31EE"/>
    <w:pPr>
      <w:spacing w:before="240"/>
      <w:outlineLvl w:val="9"/>
    </w:pPr>
    <w:rPr>
      <w:noProof/>
      <w:sz w:val="24"/>
    </w:rPr>
  </w:style>
  <w:style w:type="paragraph" w:customStyle="1" w:styleId="MiniTOCItem">
    <w:name w:val="MiniTOCItem"/>
    <w:basedOn w:val="ListBullet"/>
    <w:rsid w:val="000C31EE"/>
    <w:pPr>
      <w:numPr>
        <w:numId w:val="0"/>
      </w:numPr>
      <w:tabs>
        <w:tab w:val="right" w:leader="dot" w:pos="6521"/>
      </w:tabs>
      <w:spacing w:before="0" w:after="0"/>
    </w:pPr>
  </w:style>
  <w:style w:type="paragraph" w:customStyle="1" w:styleId="TOFTitle">
    <w:name w:val="TOFTitle"/>
    <w:basedOn w:val="TOCTitle"/>
    <w:rsid w:val="000C31EE"/>
  </w:style>
  <w:style w:type="paragraph" w:styleId="TableofFigures">
    <w:name w:val="table of figures"/>
    <w:basedOn w:val="Normal"/>
    <w:next w:val="Normal"/>
    <w:semiHidden/>
    <w:rsid w:val="000C31EE"/>
    <w:pPr>
      <w:tabs>
        <w:tab w:val="right" w:leader="dot" w:pos="9072"/>
      </w:tabs>
      <w:ind w:left="970" w:hanging="403"/>
    </w:pPr>
    <w:rPr>
      <w:rFonts w:ascii="Times New Roman" w:hAnsi="Times New Roman"/>
      <w:b/>
    </w:rPr>
  </w:style>
  <w:style w:type="paragraph" w:styleId="ListNumber">
    <w:name w:val="List Number"/>
    <w:basedOn w:val="List"/>
    <w:rsid w:val="000C31EE"/>
    <w:pPr>
      <w:numPr>
        <w:numId w:val="14"/>
      </w:numPr>
      <w:tabs>
        <w:tab w:val="clear" w:pos="340"/>
      </w:tabs>
    </w:pPr>
  </w:style>
  <w:style w:type="character" w:customStyle="1" w:styleId="WingdingSymbols">
    <w:name w:val="Wingding Symbols"/>
    <w:rsid w:val="000C31EE"/>
    <w:rPr>
      <w:rFonts w:ascii="Wingdings" w:hAnsi="Wingdings"/>
    </w:rPr>
  </w:style>
  <w:style w:type="paragraph" w:customStyle="1" w:styleId="TableHeading">
    <w:name w:val="Table Heading"/>
    <w:basedOn w:val="HeadingBase"/>
    <w:rsid w:val="000C31EE"/>
    <w:pPr>
      <w:keepLines/>
      <w:pBdr>
        <w:bottom w:val="single" w:sz="6" w:space="1" w:color="918585"/>
      </w:pBdr>
      <w:spacing w:before="240"/>
    </w:pPr>
  </w:style>
  <w:style w:type="character" w:customStyle="1" w:styleId="HotSpot">
    <w:name w:val="HotSpot"/>
    <w:rsid w:val="000C31EE"/>
    <w:rPr>
      <w:color w:val="0033CC"/>
      <w:u w:val="none"/>
    </w:rPr>
  </w:style>
  <w:style w:type="paragraph" w:customStyle="1" w:styleId="BodyTextRight">
    <w:name w:val="Body Text Right"/>
    <w:basedOn w:val="BodyText"/>
    <w:rsid w:val="000C31EE"/>
    <w:pPr>
      <w:spacing w:before="0" w:after="0"/>
      <w:jc w:val="right"/>
    </w:pPr>
  </w:style>
  <w:style w:type="paragraph" w:styleId="Index3">
    <w:name w:val="index 3"/>
    <w:basedOn w:val="ListNumber2"/>
    <w:next w:val="Normal"/>
    <w:semiHidden/>
    <w:rsid w:val="000C31EE"/>
    <w:pPr>
      <w:numPr>
        <w:numId w:val="0"/>
      </w:numPr>
      <w:tabs>
        <w:tab w:val="right" w:leader="dot" w:pos="4176"/>
      </w:tabs>
    </w:pPr>
  </w:style>
  <w:style w:type="paragraph" w:styleId="ListNumber2">
    <w:name w:val="List Number 2"/>
    <w:basedOn w:val="List2"/>
    <w:rsid w:val="000C31EE"/>
    <w:pPr>
      <w:numPr>
        <w:numId w:val="9"/>
      </w:numPr>
      <w:tabs>
        <w:tab w:val="clear" w:pos="1060"/>
      </w:tabs>
    </w:pPr>
  </w:style>
  <w:style w:type="paragraph" w:customStyle="1" w:styleId="MarginNote">
    <w:name w:val="Margin Note"/>
    <w:basedOn w:val="BodyText"/>
    <w:rsid w:val="000C31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31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C31E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C31EE"/>
    <w:rPr>
      <w:sz w:val="32"/>
    </w:rPr>
  </w:style>
  <w:style w:type="paragraph" w:customStyle="1" w:styleId="HeadingProcedure">
    <w:name w:val="Heading Procedure"/>
    <w:basedOn w:val="HeadingBase"/>
    <w:next w:val="Normal"/>
    <w:rsid w:val="000C31EE"/>
    <w:pPr>
      <w:tabs>
        <w:tab w:val="left" w:pos="0"/>
      </w:tabs>
      <w:spacing w:before="120" w:after="60"/>
    </w:pPr>
    <w:rPr>
      <w:i/>
      <w:color w:val="918585"/>
      <w:sz w:val="22"/>
    </w:rPr>
  </w:style>
  <w:style w:type="paragraph" w:customStyle="1" w:styleId="TableBodyText">
    <w:name w:val="Table Body Text"/>
    <w:basedOn w:val="BodyText"/>
    <w:rsid w:val="000C31EE"/>
    <w:pPr>
      <w:spacing w:before="60" w:after="60"/>
    </w:pPr>
  </w:style>
  <w:style w:type="paragraph" w:styleId="ListContinue">
    <w:name w:val="List Continue"/>
    <w:basedOn w:val="List"/>
    <w:rsid w:val="000C31EE"/>
    <w:pPr>
      <w:ind w:firstLine="0"/>
    </w:pPr>
  </w:style>
  <w:style w:type="paragraph" w:customStyle="1" w:styleId="ListNote">
    <w:name w:val="List Note"/>
    <w:basedOn w:val="List"/>
    <w:rsid w:val="000C31EE"/>
    <w:pPr>
      <w:pBdr>
        <w:top w:val="single" w:sz="6" w:space="2" w:color="918585"/>
        <w:bottom w:val="single" w:sz="6" w:space="2" w:color="918585"/>
      </w:pBdr>
      <w:tabs>
        <w:tab w:val="left" w:pos="1021"/>
      </w:tabs>
      <w:ind w:firstLine="0"/>
    </w:pPr>
  </w:style>
  <w:style w:type="paragraph" w:customStyle="1" w:styleId="Warning">
    <w:name w:val="Warning"/>
    <w:basedOn w:val="BodyText"/>
    <w:rsid w:val="000C31EE"/>
    <w:pPr>
      <w:shd w:val="clear" w:color="auto" w:fill="D9D9D9"/>
      <w:tabs>
        <w:tab w:val="left" w:pos="992"/>
      </w:tabs>
      <w:ind w:left="119" w:right="119"/>
    </w:pPr>
    <w:rPr>
      <w:sz w:val="20"/>
    </w:rPr>
  </w:style>
  <w:style w:type="paragraph" w:customStyle="1" w:styleId="MarginIcons">
    <w:name w:val="Margin Icons"/>
    <w:basedOn w:val="BodyText"/>
    <w:rsid w:val="000C31E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C31EE"/>
    <w:rPr>
      <w:rFonts w:ascii="Courier New" w:hAnsi="Courier New"/>
    </w:rPr>
  </w:style>
  <w:style w:type="paragraph" w:customStyle="1" w:styleId="NoteBullet">
    <w:name w:val="Note Bullet"/>
    <w:basedOn w:val="Note"/>
    <w:rsid w:val="000C31EE"/>
    <w:pPr>
      <w:tabs>
        <w:tab w:val="clear" w:pos="680"/>
      </w:tabs>
      <w:spacing w:before="60" w:after="60"/>
    </w:pPr>
  </w:style>
  <w:style w:type="paragraph" w:customStyle="1" w:styleId="SubHeading2">
    <w:name w:val="SubHeading2"/>
    <w:basedOn w:val="HeadingBase"/>
    <w:rsid w:val="000C31EE"/>
    <w:pPr>
      <w:spacing w:before="240" w:after="60"/>
    </w:pPr>
    <w:rPr>
      <w:sz w:val="20"/>
    </w:rPr>
  </w:style>
  <w:style w:type="paragraph" w:customStyle="1" w:styleId="SubHeading1">
    <w:name w:val="SubHeading1"/>
    <w:basedOn w:val="HeadingBase"/>
    <w:rsid w:val="000C31EE"/>
    <w:pPr>
      <w:spacing w:before="240" w:after="60"/>
    </w:pPr>
    <w:rPr>
      <w:color w:val="918585"/>
      <w:sz w:val="22"/>
    </w:rPr>
  </w:style>
  <w:style w:type="paragraph" w:customStyle="1" w:styleId="SideHeading">
    <w:name w:val="Side Heading"/>
    <w:basedOn w:val="HeadingBase"/>
    <w:rsid w:val="000C31E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31EE"/>
    <w:pPr>
      <w:numPr>
        <w:numId w:val="10"/>
      </w:numPr>
    </w:pPr>
  </w:style>
  <w:style w:type="paragraph" w:styleId="PlainText">
    <w:name w:val="Plain Text"/>
    <w:basedOn w:val="Normal"/>
    <w:link w:val="PlainTextChar"/>
    <w:rsid w:val="000C31EE"/>
    <w:rPr>
      <w:sz w:val="20"/>
    </w:rPr>
  </w:style>
  <w:style w:type="character" w:customStyle="1" w:styleId="PlainTextChar">
    <w:name w:val="Plain Text Char"/>
    <w:basedOn w:val="DefaultParagraphFont"/>
    <w:link w:val="PlainText"/>
    <w:rsid w:val="000C31EE"/>
    <w:rPr>
      <w:rFonts w:ascii="Courier New" w:eastAsia="Times New Roman" w:hAnsi="Courier New" w:cs="Times New Roman"/>
      <w:sz w:val="20"/>
      <w:szCs w:val="20"/>
      <w:lang w:eastAsia="en-US"/>
    </w:rPr>
  </w:style>
  <w:style w:type="character" w:customStyle="1" w:styleId="MenuOption">
    <w:name w:val="Menu Option"/>
    <w:basedOn w:val="DefaultParagraphFont"/>
    <w:rsid w:val="000C31EE"/>
    <w:rPr>
      <w:b/>
      <w:smallCaps/>
    </w:rPr>
  </w:style>
  <w:style w:type="paragraph" w:customStyle="1" w:styleId="TableListNumber">
    <w:name w:val="Table List Number"/>
    <w:basedOn w:val="ListNumber"/>
    <w:rsid w:val="000C31EE"/>
    <w:pPr>
      <w:numPr>
        <w:numId w:val="0"/>
      </w:numPr>
    </w:pPr>
  </w:style>
  <w:style w:type="paragraph" w:styleId="TOC4">
    <w:name w:val="toc 4"/>
    <w:basedOn w:val="TOCBase"/>
    <w:next w:val="Normal"/>
    <w:semiHidden/>
    <w:rsid w:val="000C31EE"/>
    <w:pPr>
      <w:tabs>
        <w:tab w:val="right" w:leader="dot" w:pos="9071"/>
      </w:tabs>
      <w:ind w:left="1701"/>
    </w:pPr>
  </w:style>
  <w:style w:type="paragraph" w:customStyle="1" w:styleId="ListAlpha">
    <w:name w:val="List Alpha"/>
    <w:basedOn w:val="List"/>
    <w:rsid w:val="000C31EE"/>
    <w:pPr>
      <w:numPr>
        <w:numId w:val="8"/>
      </w:numPr>
    </w:pPr>
  </w:style>
  <w:style w:type="paragraph" w:customStyle="1" w:styleId="ListAlpha2">
    <w:name w:val="List Alpha 2"/>
    <w:basedOn w:val="List2"/>
    <w:rsid w:val="000C31EE"/>
    <w:pPr>
      <w:numPr>
        <w:numId w:val="7"/>
      </w:numPr>
    </w:pPr>
  </w:style>
  <w:style w:type="paragraph" w:styleId="List2">
    <w:name w:val="List 2"/>
    <w:basedOn w:val="BodyText"/>
    <w:rsid w:val="000C31EE"/>
    <w:pPr>
      <w:tabs>
        <w:tab w:val="left" w:pos="680"/>
      </w:tabs>
      <w:spacing w:before="60" w:after="60"/>
      <w:ind w:left="680" w:hanging="340"/>
    </w:pPr>
  </w:style>
  <w:style w:type="paragraph" w:styleId="List3">
    <w:name w:val="List 3"/>
    <w:basedOn w:val="BodyText"/>
    <w:rsid w:val="000C31EE"/>
    <w:pPr>
      <w:tabs>
        <w:tab w:val="left" w:pos="1021"/>
      </w:tabs>
      <w:spacing w:before="60" w:after="60"/>
      <w:ind w:left="1020" w:hanging="340"/>
    </w:pPr>
  </w:style>
  <w:style w:type="paragraph" w:styleId="List4">
    <w:name w:val="List 4"/>
    <w:basedOn w:val="BodyText"/>
    <w:rsid w:val="000C31EE"/>
    <w:pPr>
      <w:tabs>
        <w:tab w:val="left" w:pos="1361"/>
      </w:tabs>
      <w:spacing w:before="60" w:after="60"/>
      <w:ind w:left="1361" w:hanging="340"/>
    </w:pPr>
  </w:style>
  <w:style w:type="paragraph" w:styleId="List5">
    <w:name w:val="List 5"/>
    <w:basedOn w:val="BodyText"/>
    <w:rsid w:val="000C31EE"/>
    <w:pPr>
      <w:tabs>
        <w:tab w:val="left" w:pos="1701"/>
      </w:tabs>
      <w:spacing w:before="60" w:after="60"/>
      <w:ind w:left="1701" w:hanging="340"/>
    </w:pPr>
  </w:style>
  <w:style w:type="paragraph" w:styleId="ListBullet3">
    <w:name w:val="List Bullet 3"/>
    <w:basedOn w:val="List3"/>
    <w:rsid w:val="000C31EE"/>
    <w:pPr>
      <w:numPr>
        <w:numId w:val="13"/>
      </w:numPr>
      <w:tabs>
        <w:tab w:val="clear" w:pos="1021"/>
      </w:tabs>
      <w:ind w:left="1037" w:hanging="357"/>
    </w:pPr>
  </w:style>
  <w:style w:type="paragraph" w:styleId="ListBullet4">
    <w:name w:val="List Bullet 4"/>
    <w:basedOn w:val="List4"/>
    <w:rsid w:val="000C31EE"/>
    <w:pPr>
      <w:numPr>
        <w:numId w:val="2"/>
      </w:numPr>
      <w:tabs>
        <w:tab w:val="clear" w:pos="1361"/>
      </w:tabs>
    </w:pPr>
  </w:style>
  <w:style w:type="paragraph" w:styleId="ListBullet5">
    <w:name w:val="List Bullet 5"/>
    <w:basedOn w:val="List5"/>
    <w:rsid w:val="000C31EE"/>
    <w:pPr>
      <w:numPr>
        <w:numId w:val="3"/>
      </w:numPr>
    </w:pPr>
  </w:style>
  <w:style w:type="paragraph" w:styleId="ListContinue2">
    <w:name w:val="List Continue 2"/>
    <w:basedOn w:val="List2"/>
    <w:rsid w:val="000C31EE"/>
    <w:pPr>
      <w:ind w:firstLine="0"/>
    </w:pPr>
  </w:style>
  <w:style w:type="paragraph" w:styleId="ListContinue3">
    <w:name w:val="List Continue 3"/>
    <w:basedOn w:val="List3"/>
    <w:rsid w:val="000C31EE"/>
    <w:pPr>
      <w:ind w:left="1021" w:firstLine="0"/>
    </w:pPr>
  </w:style>
  <w:style w:type="paragraph" w:styleId="ListContinue4">
    <w:name w:val="List Continue 4"/>
    <w:basedOn w:val="List4"/>
    <w:rsid w:val="000C31EE"/>
    <w:pPr>
      <w:ind w:firstLine="0"/>
    </w:pPr>
  </w:style>
  <w:style w:type="paragraph" w:styleId="ListContinue5">
    <w:name w:val="List Continue 5"/>
    <w:basedOn w:val="List5"/>
    <w:rsid w:val="000C31EE"/>
    <w:pPr>
      <w:ind w:firstLine="0"/>
    </w:pPr>
  </w:style>
  <w:style w:type="paragraph" w:styleId="ListNumber3">
    <w:name w:val="List Number 3"/>
    <w:basedOn w:val="List3"/>
    <w:rsid w:val="000C31EE"/>
    <w:pPr>
      <w:numPr>
        <w:numId w:val="4"/>
      </w:numPr>
    </w:pPr>
  </w:style>
  <w:style w:type="paragraph" w:styleId="ListNumber4">
    <w:name w:val="List Number 4"/>
    <w:basedOn w:val="List4"/>
    <w:rsid w:val="000C31EE"/>
    <w:pPr>
      <w:numPr>
        <w:numId w:val="5"/>
      </w:numPr>
    </w:pPr>
  </w:style>
  <w:style w:type="paragraph" w:styleId="ListNumber5">
    <w:name w:val="List Number 5"/>
    <w:basedOn w:val="List5"/>
    <w:rsid w:val="000C31EE"/>
    <w:pPr>
      <w:numPr>
        <w:numId w:val="6"/>
      </w:numPr>
    </w:pPr>
  </w:style>
  <w:style w:type="paragraph" w:styleId="BlockText">
    <w:name w:val="Block Text"/>
    <w:basedOn w:val="Normal"/>
    <w:rsid w:val="000C31EE"/>
    <w:pPr>
      <w:spacing w:after="120"/>
      <w:ind w:left="1440" w:right="1440"/>
    </w:pPr>
  </w:style>
  <w:style w:type="character" w:customStyle="1" w:styleId="Subscript">
    <w:name w:val="Subscript"/>
    <w:basedOn w:val="DefaultParagraphFont"/>
    <w:rsid w:val="000C31EE"/>
    <w:rPr>
      <w:sz w:val="16"/>
      <w:vertAlign w:val="subscript"/>
    </w:rPr>
  </w:style>
  <w:style w:type="character" w:customStyle="1" w:styleId="Superscript">
    <w:name w:val="Superscript"/>
    <w:basedOn w:val="DefaultParagraphFont"/>
    <w:rsid w:val="000C31EE"/>
    <w:rPr>
      <w:sz w:val="16"/>
      <w:vertAlign w:val="superscript"/>
    </w:rPr>
  </w:style>
  <w:style w:type="character" w:customStyle="1" w:styleId="Symbols">
    <w:name w:val="Symbols"/>
    <w:basedOn w:val="DefaultParagraphFont"/>
    <w:rsid w:val="000C31EE"/>
    <w:rPr>
      <w:rFonts w:ascii="Symbol" w:hAnsi="Symbol"/>
    </w:rPr>
  </w:style>
  <w:style w:type="character" w:customStyle="1" w:styleId="MenuOptions">
    <w:name w:val="Menu Options"/>
    <w:basedOn w:val="DefaultParagraphFont"/>
    <w:rsid w:val="000C31EE"/>
    <w:rPr>
      <w:rFonts w:ascii="Arial Narrow" w:hAnsi="Arial Narrow"/>
      <w:smallCaps/>
    </w:rPr>
  </w:style>
  <w:style w:type="character" w:customStyle="1" w:styleId="Buttons">
    <w:name w:val="Buttons"/>
    <w:basedOn w:val="DefaultParagraphFont"/>
    <w:rsid w:val="000C31EE"/>
    <w:rPr>
      <w:b/>
    </w:rPr>
  </w:style>
  <w:style w:type="character" w:customStyle="1" w:styleId="Underlined">
    <w:name w:val="Underlined"/>
    <w:basedOn w:val="DefaultParagraphFont"/>
    <w:rsid w:val="000C31EE"/>
    <w:rPr>
      <w:u w:val="single"/>
    </w:rPr>
  </w:style>
  <w:style w:type="paragraph" w:customStyle="1" w:styleId="TableBodyTextRight">
    <w:name w:val="Table Body Text Right"/>
    <w:basedOn w:val="TableBodyText"/>
    <w:rsid w:val="000C31EE"/>
    <w:pPr>
      <w:widowControl w:val="0"/>
      <w:autoSpaceDE w:val="0"/>
      <w:autoSpaceDN w:val="0"/>
      <w:adjustRightInd w:val="0"/>
      <w:jc w:val="right"/>
    </w:pPr>
    <w:rPr>
      <w:rFonts w:cs="Arial"/>
      <w:szCs w:val="18"/>
    </w:rPr>
  </w:style>
  <w:style w:type="paragraph" w:customStyle="1" w:styleId="CopyrightText">
    <w:name w:val="Copyright Text"/>
    <w:basedOn w:val="BodyText"/>
    <w:rsid w:val="000C31EE"/>
    <w:rPr>
      <w:sz w:val="18"/>
    </w:rPr>
  </w:style>
  <w:style w:type="paragraph" w:customStyle="1" w:styleId="BodySmallRight">
    <w:name w:val="Body Small Right"/>
    <w:basedOn w:val="BodyTextRight"/>
    <w:rsid w:val="000C31EE"/>
    <w:rPr>
      <w:sz w:val="18"/>
      <w:szCs w:val="18"/>
    </w:rPr>
  </w:style>
  <w:style w:type="paragraph" w:customStyle="1" w:styleId="MarginEdition">
    <w:name w:val="Margin Edition"/>
    <w:basedOn w:val="MarginNote"/>
    <w:rsid w:val="000C31EE"/>
    <w:pPr>
      <w:spacing w:before="0" w:after="0"/>
    </w:pPr>
    <w:rPr>
      <w:rFonts w:ascii="Times New Roman" w:hAnsi="Times New Roman"/>
      <w:color w:val="999999"/>
    </w:rPr>
  </w:style>
  <w:style w:type="paragraph" w:customStyle="1" w:styleId="Spacer">
    <w:name w:val="Spacer"/>
    <w:basedOn w:val="Normal"/>
    <w:rsid w:val="000C31EE"/>
    <w:rPr>
      <w:sz w:val="2"/>
      <w:szCs w:val="2"/>
    </w:rPr>
  </w:style>
  <w:style w:type="character" w:customStyle="1" w:styleId="Small">
    <w:name w:val="Small"/>
    <w:basedOn w:val="DefaultParagraphFont"/>
    <w:rsid w:val="000C31EE"/>
    <w:rPr>
      <w:sz w:val="16"/>
    </w:rPr>
  </w:style>
  <w:style w:type="paragraph" w:customStyle="1" w:styleId="WideTable">
    <w:name w:val="Wide Table"/>
    <w:basedOn w:val="Normal"/>
    <w:rsid w:val="000C31EE"/>
    <w:pPr>
      <w:ind w:left="-1418"/>
    </w:pPr>
    <w:rPr>
      <w:sz w:val="2"/>
      <w:szCs w:val="2"/>
    </w:rPr>
  </w:style>
  <w:style w:type="character" w:styleId="PageNumber">
    <w:name w:val="page number"/>
    <w:basedOn w:val="DefaultParagraphFont"/>
    <w:rsid w:val="000C31EE"/>
  </w:style>
  <w:style w:type="paragraph" w:styleId="Quote">
    <w:name w:val="Quote"/>
    <w:basedOn w:val="Heading1"/>
    <w:link w:val="QuoteChar"/>
    <w:qFormat/>
    <w:rsid w:val="000C31EE"/>
    <w:rPr>
      <w:b w:val="0"/>
      <w:sz w:val="72"/>
      <w:szCs w:val="72"/>
      <w:lang w:val="en-NZ"/>
    </w:rPr>
  </w:style>
  <w:style w:type="character" w:customStyle="1" w:styleId="QuoteChar">
    <w:name w:val="Quote Char"/>
    <w:basedOn w:val="DefaultParagraphFont"/>
    <w:link w:val="Quote"/>
    <w:rsid w:val="000C31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31EE"/>
    <w:pPr>
      <w:pageBreakBefore/>
    </w:pPr>
  </w:style>
  <w:style w:type="paragraph" w:customStyle="1" w:styleId="Border">
    <w:name w:val="Border"/>
    <w:basedOn w:val="Normal"/>
    <w:qFormat/>
    <w:rsid w:val="000C31E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C31EE"/>
    <w:rPr>
      <w:b/>
      <w:bCs/>
      <w:i/>
      <w:iCs/>
      <w:color w:val="auto"/>
    </w:rPr>
  </w:style>
  <w:style w:type="paragraph" w:styleId="IntenseQuote">
    <w:name w:val="Intense Quote"/>
    <w:basedOn w:val="Normal"/>
    <w:next w:val="Normal"/>
    <w:link w:val="IntenseQuoteChar"/>
    <w:uiPriority w:val="30"/>
    <w:qFormat/>
    <w:rsid w:val="000C31E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C31E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C31EE"/>
    <w:rPr>
      <w:smallCaps/>
      <w:color w:val="auto"/>
      <w:u w:val="single"/>
    </w:rPr>
  </w:style>
  <w:style w:type="character" w:styleId="IntenseReference">
    <w:name w:val="Intense Reference"/>
    <w:basedOn w:val="DefaultParagraphFont"/>
    <w:uiPriority w:val="32"/>
    <w:qFormat/>
    <w:rsid w:val="000C31EE"/>
    <w:rPr>
      <w:b/>
      <w:bCs/>
      <w:smallCaps/>
      <w:color w:val="auto"/>
      <w:spacing w:val="5"/>
      <w:u w:val="single"/>
    </w:rPr>
  </w:style>
  <w:style w:type="paragraph" w:customStyle="1" w:styleId="2ColumnHeading">
    <w:name w:val="2Column Heading"/>
    <w:basedOn w:val="BodyText"/>
    <w:qFormat/>
    <w:rsid w:val="000C31EE"/>
    <w:pPr>
      <w:spacing w:after="60"/>
      <w:ind w:left="-2268"/>
    </w:pPr>
    <w:rPr>
      <w:b/>
    </w:rPr>
  </w:style>
  <w:style w:type="paragraph" w:customStyle="1" w:styleId="Heading1TOC">
    <w:name w:val="Heading1 TOC"/>
    <w:basedOn w:val="Normal"/>
    <w:qFormat/>
    <w:rsid w:val="000C31EE"/>
    <w:pPr>
      <w:spacing w:before="240" w:after="120"/>
    </w:pPr>
    <w:rPr>
      <w:rFonts w:ascii="Times New Roman" w:hAnsi="Times New Roman"/>
      <w:b/>
      <w:sz w:val="32"/>
    </w:rPr>
  </w:style>
  <w:style w:type="paragraph" w:customStyle="1" w:styleId="Heading2TOC">
    <w:name w:val="Heading2 TOC"/>
    <w:basedOn w:val="Normal"/>
    <w:qFormat/>
    <w:rsid w:val="000C31EE"/>
    <w:pPr>
      <w:spacing w:before="240" w:after="60"/>
    </w:pPr>
    <w:rPr>
      <w:rFonts w:ascii="Times New Roman" w:hAnsi="Times New Roman"/>
      <w:b/>
      <w:sz w:val="28"/>
    </w:rPr>
  </w:style>
  <w:style w:type="character" w:customStyle="1" w:styleId="Underline">
    <w:name w:val="Underline"/>
    <w:basedOn w:val="DefaultParagraphFont"/>
    <w:qFormat/>
    <w:rsid w:val="000C31EE"/>
    <w:rPr>
      <w:u w:val="single"/>
    </w:rPr>
  </w:style>
  <w:style w:type="character" w:customStyle="1" w:styleId="BoldandItalics">
    <w:name w:val="Bold and Italics"/>
    <w:qFormat/>
    <w:rsid w:val="000C31EE"/>
    <w:rPr>
      <w:b/>
      <w:i/>
      <w:u w:val="none"/>
    </w:rPr>
  </w:style>
  <w:style w:type="paragraph" w:styleId="BalloonText">
    <w:name w:val="Balloon Text"/>
    <w:basedOn w:val="Normal"/>
    <w:link w:val="BalloonTextChar"/>
    <w:rsid w:val="000C31EE"/>
    <w:rPr>
      <w:rFonts w:ascii="Tahoma" w:hAnsi="Tahoma" w:cs="Tahoma"/>
      <w:sz w:val="16"/>
      <w:szCs w:val="16"/>
    </w:rPr>
  </w:style>
  <w:style w:type="character" w:customStyle="1" w:styleId="BalloonTextChar">
    <w:name w:val="Balloon Text Char"/>
    <w:basedOn w:val="DefaultParagraphFont"/>
    <w:link w:val="BalloonText"/>
    <w:rsid w:val="000C31E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C31E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C31E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C31EE"/>
    <w:rPr>
      <w:b/>
      <w:color w:val="660033"/>
      <w:spacing w:val="0"/>
    </w:rPr>
  </w:style>
  <w:style w:type="paragraph" w:customStyle="1" w:styleId="Nameditemlist">
    <w:name w:val="Named item list"/>
    <w:basedOn w:val="BodyText"/>
    <w:qFormat/>
    <w:rsid w:val="000C31EE"/>
    <w:pPr>
      <w:tabs>
        <w:tab w:val="left" w:pos="2835"/>
      </w:tabs>
      <w:ind w:left="2835" w:hanging="2835"/>
    </w:pPr>
  </w:style>
  <w:style w:type="paragraph" w:customStyle="1" w:styleId="BodyTextnopadding">
    <w:name w:val="Body Text no padding"/>
    <w:basedOn w:val="BodyText"/>
    <w:qFormat/>
    <w:rsid w:val="000C31EE"/>
    <w:pPr>
      <w:spacing w:before="0" w:after="0"/>
    </w:pPr>
  </w:style>
  <w:style w:type="paragraph" w:customStyle="1" w:styleId="BodyTextBold">
    <w:name w:val="Body Text Bold"/>
    <w:basedOn w:val="BodyText"/>
    <w:qFormat/>
    <w:rsid w:val="000C31EE"/>
    <w:rPr>
      <w:b/>
    </w:rPr>
  </w:style>
  <w:style w:type="character" w:styleId="Hyperlink">
    <w:name w:val="Hyperlink"/>
    <w:basedOn w:val="DefaultParagraphFont"/>
    <w:uiPriority w:val="99"/>
    <w:unhideWhenUsed/>
    <w:rsid w:val="004D5ED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627</Words>
  <Characters>4027</Characters>
  <Application>Microsoft Office Word</Application>
  <DocSecurity>0</DocSecurity>
  <Lines>223</Lines>
  <Paragraphs>129</Paragraphs>
  <ScaleCrop>false</ScaleCrop>
  <Company>Author-it Software Corporation Ltd.</Company>
  <LinksUpToDate>false</LinksUpToDate>
  <CharactersWithSpaces>4525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MEM08011 Prepare surfaces using solvents and/or mechanical means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2023-02-03T07:10:00Z</dcterms:created>
  <dcterms:modified xsi:type="dcterms:W3CDTF">2023-02-03T07:10:00Z</dcterms:modified>
</cp:coreProperties>
</file>