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4D2" w:rsidP="003C5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MEM08008 Operate and control surface finishing waste treatment process</w:t>
      </w:r>
      <w:r>
        <w:fldChar w:fldCharType="end"/>
      </w:r>
    </w:p>
    <w:p w:rsidR="003C54D2" w:rsidP="003C54D2">
      <w:pPr>
        <w:pStyle w:val="Version"/>
        <w:sectPr w:rsidSect="003F1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390" w:rsidP="003F1390">
      <w:pPr>
        <w:pStyle w:val="SuperHeading"/>
      </w:pPr>
      <w:r w:rsidRPr="003F1390">
        <w:t>Assessment Requirements for MEM08008 Operate and control surface finishing waste treatment process</w:t>
      </w:r>
    </w:p>
    <w:p w:rsidR="00000000" w:rsidRPr="003F1390" w:rsidP="003F1390">
      <w:pPr>
        <w:pStyle w:val="Heading1"/>
      </w:pPr>
      <w:bookmarkStart w:id="1" w:name="O_948041"/>
      <w:bookmarkEnd w:id="1"/>
      <w:r w:rsidRPr="003F1390">
        <w:t>Modification History</w:t>
      </w:r>
    </w:p>
    <w:p w:rsidR="00000000" w:rsidRPr="003F1390" w:rsidP="003C54D2">
      <w:pPr>
        <w:pStyle w:val="BodyText"/>
      </w:pPr>
      <w:r w:rsidRPr="003F1390">
        <w:t>Release 1. Supersedes and is equivalent to MEM08008B Operate and control surface finishing waste treatment process</w:t>
      </w:r>
    </w:p>
    <w:p w:rsidR="00000000" w:rsidRPr="003F1390" w:rsidP="003F1390">
      <w:pPr>
        <w:pStyle w:val="Heading1"/>
      </w:pPr>
      <w:bookmarkStart w:id="2" w:name="O_948044"/>
      <w:bookmarkEnd w:id="2"/>
      <w:r w:rsidRPr="003F1390">
        <w:t>Performance Evidence</w:t>
      </w:r>
    </w:p>
    <w:p w:rsidR="00000000" w:rsidRPr="003F1390" w:rsidP="003C54D2">
      <w:pPr>
        <w:pStyle w:val="BodyText"/>
      </w:pPr>
      <w:r w:rsidRPr="003F1390">
        <w:t>Evidence required to demonstrate competence in this unit must be relevant to and satisfy the requirements of the elements and performance criteria on at least two (2) occasions and include:</w:t>
      </w:r>
    </w:p>
    <w:p w:rsidR="00000000" w:rsidRPr="003F1390" w:rsidP="003F1390">
      <w:pPr>
        <w:pStyle w:val="ListBullet"/>
      </w:pPr>
      <w:r w:rsidRPr="003F1390">
        <w:t>following work instructions,</w:t>
      </w:r>
      <w:r w:rsidRPr="003F1390">
        <w:t xml:space="preserve"> standard operating procedures (SOPs) and safe work practices </w:t>
      </w:r>
    </w:p>
    <w:p w:rsidR="00000000" w:rsidRPr="003F1390" w:rsidP="003F1390">
      <w:pPr>
        <w:pStyle w:val="ListBullet"/>
      </w:pPr>
      <w:r w:rsidRPr="003F1390">
        <w:t xml:space="preserve">loading and monitoring surface finishing waste products safely </w:t>
      </w:r>
    </w:p>
    <w:p w:rsidR="00000000" w:rsidRPr="003F1390" w:rsidP="003F1390">
      <w:pPr>
        <w:pStyle w:val="ListBullet"/>
      </w:pPr>
      <w:r w:rsidRPr="003F1390">
        <w:t>applying correct procedures to control the treatment and purification of waste products</w:t>
      </w:r>
    </w:p>
    <w:p w:rsidR="00000000" w:rsidRPr="003F1390" w:rsidP="003F1390">
      <w:pPr>
        <w:pStyle w:val="ListBullet"/>
      </w:pPr>
      <w:r w:rsidRPr="003F1390">
        <w:t>maintaining waste product treatment proce</w:t>
      </w:r>
      <w:r w:rsidRPr="003F1390">
        <w:t>sses and outcomes to meet regulatory and enterprise/industry standards</w:t>
      </w:r>
    </w:p>
    <w:p w:rsidR="00000000" w:rsidRPr="003F1390" w:rsidP="003F1390">
      <w:pPr>
        <w:pStyle w:val="ListBullet"/>
      </w:pPr>
      <w:r w:rsidRPr="003F1390">
        <w:t>taking corrective action in response to mechanical failure.</w:t>
      </w:r>
    </w:p>
    <w:p w:rsidR="00000000" w:rsidRPr="003F1390" w:rsidP="003F1390">
      <w:pPr>
        <w:pStyle w:val="AllowPageBreak"/>
      </w:pPr>
    </w:p>
    <w:p w:rsidR="00000000" w:rsidRPr="003F1390" w:rsidP="003F1390">
      <w:pPr>
        <w:pStyle w:val="Heading1"/>
      </w:pPr>
      <w:bookmarkStart w:id="3" w:name="O_948043"/>
      <w:bookmarkEnd w:id="3"/>
      <w:r w:rsidRPr="003F1390">
        <w:t>Knowledge Evidence</w:t>
      </w:r>
    </w:p>
    <w:p w:rsidR="00000000" w:rsidRPr="003F1390" w:rsidP="003C54D2">
      <w:pPr>
        <w:pStyle w:val="BodyText"/>
      </w:pPr>
      <w:r w:rsidRPr="003F1390">
        <w:t>Evidence required to demonstrate the required knowledge for this unit must be relevant to</w:t>
      </w:r>
      <w:r w:rsidRPr="003F1390">
        <w:t xml:space="preserve"> and satisfy the requirements of the elements and performance criteria and include knowledge of:</w:t>
      </w:r>
    </w:p>
    <w:p w:rsidR="00000000" w:rsidRPr="003F1390" w:rsidP="003F1390">
      <w:pPr>
        <w:pStyle w:val="ListBullet"/>
      </w:pPr>
      <w:r w:rsidRPr="003F1390">
        <w:t>safe work practices and procedures and use of personal protective equipment (PPE)</w:t>
      </w:r>
    </w:p>
    <w:p w:rsidR="00000000" w:rsidRPr="003F1390" w:rsidP="003F1390">
      <w:pPr>
        <w:pStyle w:val="ListBullet"/>
      </w:pPr>
      <w:r w:rsidRPr="003F1390">
        <w:t>hazards and control measures associated with handling waste products, includ</w:t>
      </w:r>
      <w:r w:rsidRPr="003F1390">
        <w:t>ing possible effects of surface finishing waste on the environment</w:t>
      </w:r>
    </w:p>
    <w:p w:rsidR="00000000" w:rsidRPr="003F1390" w:rsidP="003F1390">
      <w:pPr>
        <w:pStyle w:val="ListBullet"/>
      </w:pPr>
      <w:r w:rsidRPr="003F1390">
        <w:t>safety precautions to be taken when handling/loading the waste/effluent</w:t>
      </w:r>
    </w:p>
    <w:p w:rsidR="00000000" w:rsidRPr="003F1390" w:rsidP="003F1390">
      <w:pPr>
        <w:pStyle w:val="ListBullet"/>
      </w:pPr>
      <w:r w:rsidRPr="003F1390">
        <w:t>process parameters to be monitored and the procedures for monitoring these and identifying waste/effluent</w:t>
      </w:r>
    </w:p>
    <w:p w:rsidR="00000000" w:rsidRPr="003F1390" w:rsidP="003F1390">
      <w:pPr>
        <w:pStyle w:val="ListBullet"/>
      </w:pPr>
      <w:r w:rsidRPr="003F1390">
        <w:t xml:space="preserve">procedures </w:t>
      </w:r>
      <w:r w:rsidRPr="003F1390">
        <w:t xml:space="preserve">for checking process parameter recording devices and recording process parameters </w:t>
      </w:r>
    </w:p>
    <w:p w:rsidR="00000000" w:rsidRPr="003F1390" w:rsidP="003F1390">
      <w:pPr>
        <w:pStyle w:val="ListBullet"/>
      </w:pPr>
      <w:r w:rsidRPr="003F1390">
        <w:t xml:space="preserve">adjustments that can be made to the waste treatment process and their effect on the condition of the waste </w:t>
      </w:r>
    </w:p>
    <w:p w:rsidR="00000000" w:rsidRPr="003F1390" w:rsidP="003F1390">
      <w:pPr>
        <w:pStyle w:val="ListBullet"/>
      </w:pPr>
      <w:r w:rsidRPr="003F1390">
        <w:t>procedures for adjusting process parameters and the specified lim</w:t>
      </w:r>
      <w:r w:rsidRPr="003F1390">
        <w:t xml:space="preserve">its for each parameter </w:t>
      </w:r>
    </w:p>
    <w:p w:rsidR="00000000" w:rsidRPr="003F1390" w:rsidP="003F1390">
      <w:pPr>
        <w:pStyle w:val="ListBullet"/>
      </w:pPr>
      <w:r w:rsidRPr="003F1390">
        <w:t xml:space="preserve">legislative and regulatory requirements relating to waste management </w:t>
      </w:r>
    </w:p>
    <w:p w:rsidR="00000000" w:rsidRPr="003F1390" w:rsidP="003F1390">
      <w:pPr>
        <w:pStyle w:val="ListBullet"/>
      </w:pPr>
      <w:r w:rsidRPr="003F1390">
        <w:t>corrective actions that can be taken in treating waste products and the reasons for taking proposed corrective actions.</w:t>
      </w:r>
    </w:p>
    <w:p w:rsidR="00000000" w:rsidRPr="003F1390" w:rsidP="003F1390">
      <w:pPr>
        <w:pStyle w:val="AllowPageBreak"/>
      </w:pPr>
    </w:p>
    <w:p w:rsidR="00000000" w:rsidRPr="003F1390" w:rsidP="003F1390">
      <w:pPr>
        <w:pStyle w:val="Heading1"/>
      </w:pPr>
      <w:bookmarkStart w:id="4" w:name="O_948042"/>
      <w:bookmarkEnd w:id="4"/>
      <w:r w:rsidRPr="003F1390">
        <w:t>Assessment Conditions</w:t>
      </w:r>
    </w:p>
    <w:p w:rsidR="00000000" w:rsidRPr="003F1390" w:rsidP="003F1390">
      <w:pPr>
        <w:pStyle w:val="ListBullet"/>
      </w:pPr>
      <w:r w:rsidRPr="003F1390">
        <w:t>Assessors must:</w:t>
      </w:r>
    </w:p>
    <w:p w:rsidR="00000000" w:rsidRPr="003F1390" w:rsidP="003F1390">
      <w:pPr>
        <w:pStyle w:val="ListBullet2"/>
      </w:pPr>
      <w:r w:rsidRPr="003F1390">
        <w:t>have vocational competency in operating and controlling surface finishing waste treatment processes at least to the level being assessed with relevant industry knowledge and experience</w:t>
      </w:r>
    </w:p>
    <w:p w:rsidR="00000000" w:rsidRPr="003F1390" w:rsidP="003F1390">
      <w:pPr>
        <w:pStyle w:val="ListBullet2"/>
      </w:pPr>
      <w:r w:rsidRPr="003F1390">
        <w:t xml:space="preserve">satisfy the assessor requirements in the </w:t>
      </w:r>
      <w:r w:rsidRPr="003F1390">
        <w:rPr>
          <w:rStyle w:val="Emphasis"/>
        </w:rPr>
        <w:t>Standards for</w:t>
      </w:r>
      <w:r w:rsidRPr="003F1390">
        <w:rPr>
          <w:rStyle w:val="Emphasis"/>
        </w:rPr>
        <w:t xml:space="preserve"> Registered Training Organisations 2015 </w:t>
      </w:r>
      <w:r w:rsidRPr="003F1390">
        <w:t>or its replacement</w:t>
      </w:r>
      <w:r w:rsidRPr="003F1390">
        <w:rPr>
          <w:rStyle w:val="Emphasis"/>
        </w:rPr>
        <w:t xml:space="preserve"> </w:t>
      </w:r>
      <w:r w:rsidRPr="003F1390">
        <w:t xml:space="preserve">and comply with the </w:t>
      </w:r>
      <w:r w:rsidRPr="003F1390">
        <w:rPr>
          <w:rStyle w:val="Emphasis"/>
        </w:rPr>
        <w:t xml:space="preserve">National Vocational Education and Training Regulator Act 2011, </w:t>
      </w:r>
      <w:r w:rsidRPr="003F1390">
        <w:t>its replacement</w:t>
      </w:r>
      <w:r w:rsidRPr="003F1390">
        <w:rPr>
          <w:rStyle w:val="Emphasis"/>
        </w:rPr>
        <w:t xml:space="preserve"> </w:t>
      </w:r>
      <w:r w:rsidRPr="003F1390">
        <w:t>or equivalent legislation covering VET regulation in a non-referring state/territory as the case r</w:t>
      </w:r>
      <w:r w:rsidRPr="003F1390">
        <w:t>equires</w:t>
      </w:r>
    </w:p>
    <w:p w:rsidR="00000000" w:rsidRPr="003F1390" w:rsidP="003F1390">
      <w:pPr>
        <w:pStyle w:val="ListBullet"/>
      </w:pPr>
      <w:r w:rsidRPr="003F1390">
        <w:t>Where possible assessment must occur in operational workplace situations. Where this is not possible or where personal safety or environmental damage are limiting factors, assessment must occur in a sufficiently rigorous simulated environment that</w:t>
      </w:r>
      <w:r w:rsidRPr="003F1390">
        <w:t xml:space="preserve">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3F1390" w:rsidP="003F1390">
      <w:pPr>
        <w:pStyle w:val="ListBullet"/>
      </w:pPr>
      <w:r w:rsidRPr="003F1390">
        <w:t xml:space="preserve">Conditions for assessment </w:t>
      </w:r>
      <w:r w:rsidRPr="003F1390">
        <w:t>must include access to all tools, equipment, materials and documentation required, including relevant workplace procedures, product and manufacturing specifications</w:t>
      </w:r>
    </w:p>
    <w:p w:rsidR="00000000" w:rsidRPr="003F1390" w:rsidP="003F1390">
      <w:pPr>
        <w:pStyle w:val="ListBullet"/>
      </w:pPr>
      <w:r w:rsidRPr="003F1390">
        <w:t>Assessment processes and techniques must be appropriate to the language, literacy and numer</w:t>
      </w:r>
      <w:r w:rsidRPr="003F1390">
        <w:t>acy requirements of the work being performed and the needs of the candidate.</w:t>
      </w:r>
    </w:p>
    <w:p w:rsidR="00000000" w:rsidRPr="003F1390" w:rsidP="003F1390">
      <w:pPr>
        <w:pStyle w:val="AllowPageBreak"/>
      </w:pPr>
    </w:p>
    <w:p w:rsidR="00000000" w:rsidRPr="003F1390" w:rsidP="003F1390">
      <w:pPr>
        <w:pStyle w:val="Heading1"/>
      </w:pPr>
      <w:bookmarkStart w:id="5" w:name="O_948040"/>
      <w:bookmarkEnd w:id="5"/>
      <w:r w:rsidRPr="003F1390">
        <w:t>Links</w:t>
      </w:r>
    </w:p>
    <w:p w:rsidR="00000000" w:rsidRPr="003F1390" w:rsidP="003C54D2">
      <w:pPr>
        <w:pStyle w:val="BodyText"/>
      </w:pPr>
      <w:r w:rsidRPr="003F1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4F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1390" w:rsidP="003F1390"/>
    <w:sectPr w:rsidSect="003F13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90" w:rsidRPr="003C54D2" w:rsidP="003C5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D2" w:rsidP="003F1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4D2" w:rsidP="003F1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54D2" w:rsidP="003F1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390" w:rsidRPr="003C54D2" w:rsidP="003C5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D2" w:rsidRPr="002D2AF8" w:rsidP="003F1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MEM08008 Operate and control surface finishing waste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C54D2" w:rsidP="003F1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03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2D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23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390"/>
  </w:style>
  <w:style w:type="character" w:customStyle="1" w:styleId="Heading1Char">
    <w:name w:val="Heading 1 Char"/>
    <w:basedOn w:val="DefaultParagraphFont"/>
    <w:link w:val="Heading1"/>
    <w:rsid w:val="003F1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3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13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1390"/>
    <w:rPr>
      <w:i/>
    </w:rPr>
  </w:style>
  <w:style w:type="paragraph" w:customStyle="1" w:styleId="SuperHeading">
    <w:name w:val="SuperHeading"/>
    <w:basedOn w:val="Normal"/>
    <w:rsid w:val="003F1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390"/>
    <w:rPr>
      <w:b/>
      <w:spacing w:val="0"/>
    </w:rPr>
  </w:style>
  <w:style w:type="paragraph" w:customStyle="1" w:styleId="SuperTitle">
    <w:name w:val="SuperTitle"/>
    <w:basedOn w:val="Title"/>
    <w:rsid w:val="003F1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390"/>
  </w:style>
  <w:style w:type="paragraph" w:styleId="TableofFigures">
    <w:name w:val="table of figures"/>
    <w:basedOn w:val="Normal"/>
    <w:next w:val="Normal"/>
    <w:semiHidden/>
    <w:rsid w:val="003F1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3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390"/>
    <w:rPr>
      <w:rFonts w:ascii="Wingdings" w:hAnsi="Wingdings"/>
    </w:rPr>
  </w:style>
  <w:style w:type="paragraph" w:customStyle="1" w:styleId="TableHeading">
    <w:name w:val="Table Heading"/>
    <w:basedOn w:val="HeadingBase"/>
    <w:rsid w:val="003F1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390"/>
    <w:rPr>
      <w:color w:val="0033CC"/>
      <w:u w:val="none"/>
    </w:rPr>
  </w:style>
  <w:style w:type="paragraph" w:customStyle="1" w:styleId="BodyTextRight">
    <w:name w:val="Body Text Right"/>
    <w:basedOn w:val="BodyText"/>
    <w:rsid w:val="003F1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390"/>
    <w:rPr>
      <w:sz w:val="32"/>
    </w:rPr>
  </w:style>
  <w:style w:type="paragraph" w:customStyle="1" w:styleId="HeadingProcedure">
    <w:name w:val="Heading Procedure"/>
    <w:basedOn w:val="HeadingBase"/>
    <w:next w:val="Normal"/>
    <w:rsid w:val="003F1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390"/>
    <w:pPr>
      <w:spacing w:before="60" w:after="60"/>
    </w:pPr>
  </w:style>
  <w:style w:type="paragraph" w:styleId="ListContinue">
    <w:name w:val="List Continue"/>
    <w:basedOn w:val="List"/>
    <w:rsid w:val="003F1390"/>
    <w:pPr>
      <w:ind w:firstLine="0"/>
    </w:pPr>
  </w:style>
  <w:style w:type="paragraph" w:customStyle="1" w:styleId="ListNote">
    <w:name w:val="List Note"/>
    <w:basedOn w:val="List"/>
    <w:rsid w:val="003F1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390"/>
    <w:rPr>
      <w:rFonts w:ascii="Courier New" w:hAnsi="Courier New"/>
    </w:rPr>
  </w:style>
  <w:style w:type="paragraph" w:customStyle="1" w:styleId="NoteBullet">
    <w:name w:val="Note Bullet"/>
    <w:basedOn w:val="Note"/>
    <w:rsid w:val="003F1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390"/>
    <w:rPr>
      <w:b/>
      <w:smallCaps/>
    </w:rPr>
  </w:style>
  <w:style w:type="paragraph" w:customStyle="1" w:styleId="TableListNumber">
    <w:name w:val="Table List Number"/>
    <w:basedOn w:val="ListNumber"/>
    <w:rsid w:val="003F1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390"/>
    <w:pPr>
      <w:numPr>
        <w:numId w:val="9"/>
      </w:numPr>
    </w:pPr>
  </w:style>
  <w:style w:type="paragraph" w:customStyle="1" w:styleId="ListAlpha2">
    <w:name w:val="List Alpha 2"/>
    <w:basedOn w:val="List2"/>
    <w:rsid w:val="003F1390"/>
    <w:pPr>
      <w:numPr>
        <w:numId w:val="8"/>
      </w:numPr>
    </w:pPr>
  </w:style>
  <w:style w:type="paragraph" w:styleId="List2">
    <w:name w:val="List 2"/>
    <w:basedOn w:val="BodyText"/>
    <w:rsid w:val="003F1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390"/>
    <w:pPr>
      <w:numPr>
        <w:numId w:val="4"/>
      </w:numPr>
    </w:pPr>
  </w:style>
  <w:style w:type="paragraph" w:styleId="ListContinue2">
    <w:name w:val="List Continue 2"/>
    <w:basedOn w:val="List2"/>
    <w:rsid w:val="003F1390"/>
    <w:pPr>
      <w:ind w:firstLine="0"/>
    </w:pPr>
  </w:style>
  <w:style w:type="paragraph" w:styleId="ListContinue3">
    <w:name w:val="List Continue 3"/>
    <w:basedOn w:val="List3"/>
    <w:rsid w:val="003F1390"/>
    <w:pPr>
      <w:ind w:left="1021" w:firstLine="0"/>
    </w:pPr>
  </w:style>
  <w:style w:type="paragraph" w:styleId="ListContinue4">
    <w:name w:val="List Continue 4"/>
    <w:basedOn w:val="List4"/>
    <w:rsid w:val="003F1390"/>
    <w:pPr>
      <w:ind w:firstLine="0"/>
    </w:pPr>
  </w:style>
  <w:style w:type="paragraph" w:styleId="ListContinue5">
    <w:name w:val="List Continue 5"/>
    <w:basedOn w:val="List5"/>
    <w:rsid w:val="003F1390"/>
    <w:pPr>
      <w:ind w:firstLine="0"/>
    </w:pPr>
  </w:style>
  <w:style w:type="paragraph" w:styleId="ListNumber3">
    <w:name w:val="List Number 3"/>
    <w:basedOn w:val="List3"/>
    <w:rsid w:val="003F1390"/>
    <w:pPr>
      <w:numPr>
        <w:numId w:val="5"/>
      </w:numPr>
    </w:pPr>
  </w:style>
  <w:style w:type="paragraph" w:styleId="ListNumber4">
    <w:name w:val="List Number 4"/>
    <w:basedOn w:val="List4"/>
    <w:rsid w:val="003F1390"/>
    <w:pPr>
      <w:numPr>
        <w:numId w:val="6"/>
      </w:numPr>
    </w:pPr>
  </w:style>
  <w:style w:type="paragraph" w:styleId="ListNumber5">
    <w:name w:val="List Number 5"/>
    <w:basedOn w:val="List5"/>
    <w:rsid w:val="003F1390"/>
    <w:pPr>
      <w:numPr>
        <w:numId w:val="7"/>
      </w:numPr>
    </w:pPr>
  </w:style>
  <w:style w:type="paragraph" w:styleId="BlockText">
    <w:name w:val="Block Text"/>
    <w:basedOn w:val="Normal"/>
    <w:rsid w:val="003F1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390"/>
    <w:rPr>
      <w:sz w:val="16"/>
      <w:vertAlign w:val="superscript"/>
    </w:rPr>
  </w:style>
  <w:style w:type="character" w:customStyle="1" w:styleId="Symbols">
    <w:name w:val="Symbols"/>
    <w:basedOn w:val="DefaultParagraphFont"/>
    <w:rsid w:val="003F1390"/>
    <w:rPr>
      <w:rFonts w:ascii="Symbol" w:hAnsi="Symbol"/>
    </w:rPr>
  </w:style>
  <w:style w:type="character" w:customStyle="1" w:styleId="MenuOptions">
    <w:name w:val="Menu Options"/>
    <w:basedOn w:val="DefaultParagraphFont"/>
    <w:rsid w:val="003F1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390"/>
    <w:rPr>
      <w:b/>
    </w:rPr>
  </w:style>
  <w:style w:type="character" w:customStyle="1" w:styleId="Underlined">
    <w:name w:val="Underlined"/>
    <w:basedOn w:val="DefaultParagraphFont"/>
    <w:rsid w:val="003F1390"/>
    <w:rPr>
      <w:u w:val="single"/>
    </w:rPr>
  </w:style>
  <w:style w:type="paragraph" w:customStyle="1" w:styleId="TableBodyTextRight">
    <w:name w:val="Table Body Text Right"/>
    <w:basedOn w:val="TableBodyText"/>
    <w:rsid w:val="003F1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390"/>
    <w:rPr>
      <w:sz w:val="18"/>
    </w:rPr>
  </w:style>
  <w:style w:type="paragraph" w:customStyle="1" w:styleId="BodySmallRight">
    <w:name w:val="Body Small Right"/>
    <w:basedOn w:val="BodyTextRight"/>
    <w:rsid w:val="003F1390"/>
    <w:rPr>
      <w:sz w:val="18"/>
      <w:szCs w:val="18"/>
    </w:rPr>
  </w:style>
  <w:style w:type="paragraph" w:customStyle="1" w:styleId="MarginEdition">
    <w:name w:val="Margin Edition"/>
    <w:basedOn w:val="MarginNote"/>
    <w:rsid w:val="003F1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390"/>
    <w:rPr>
      <w:sz w:val="2"/>
      <w:szCs w:val="2"/>
    </w:rPr>
  </w:style>
  <w:style w:type="character" w:customStyle="1" w:styleId="Small">
    <w:name w:val="Small"/>
    <w:basedOn w:val="DefaultParagraphFont"/>
    <w:rsid w:val="003F1390"/>
    <w:rPr>
      <w:sz w:val="16"/>
    </w:rPr>
  </w:style>
  <w:style w:type="paragraph" w:customStyle="1" w:styleId="WideTable">
    <w:name w:val="Wide Table"/>
    <w:basedOn w:val="Normal"/>
    <w:rsid w:val="003F1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390"/>
  </w:style>
  <w:style w:type="paragraph" w:styleId="Quote">
    <w:name w:val="Quote"/>
    <w:basedOn w:val="Heading1"/>
    <w:link w:val="QuoteChar"/>
    <w:qFormat/>
    <w:rsid w:val="003F1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390"/>
    <w:pPr>
      <w:pageBreakBefore/>
    </w:pPr>
  </w:style>
  <w:style w:type="paragraph" w:customStyle="1" w:styleId="Border">
    <w:name w:val="Border"/>
    <w:basedOn w:val="Normal"/>
    <w:qFormat/>
    <w:rsid w:val="003F1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390"/>
    <w:rPr>
      <w:u w:val="single"/>
    </w:rPr>
  </w:style>
  <w:style w:type="character" w:customStyle="1" w:styleId="BoldandItalics">
    <w:name w:val="Bold and Italics"/>
    <w:qFormat/>
    <w:rsid w:val="003F1390"/>
    <w:rPr>
      <w:b/>
      <w:i/>
      <w:u w:val="none"/>
    </w:rPr>
  </w:style>
  <w:style w:type="paragraph" w:styleId="BalloonText">
    <w:name w:val="Balloon Text"/>
    <w:basedOn w:val="Normal"/>
    <w:link w:val="BalloonTextChar"/>
    <w:rsid w:val="003F1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390"/>
    <w:pPr>
      <w:spacing w:before="0" w:after="0"/>
    </w:pPr>
  </w:style>
  <w:style w:type="paragraph" w:customStyle="1" w:styleId="BodyTextBold">
    <w:name w:val="Body Text Bold"/>
    <w:basedOn w:val="BodyText"/>
    <w:qFormat/>
    <w:rsid w:val="003F1390"/>
    <w:rPr>
      <w:b/>
    </w:rPr>
  </w:style>
  <w:style w:type="character" w:styleId="Hyperlink">
    <w:name w:val="Hyperlink"/>
    <w:basedOn w:val="DefaultParagraphFont"/>
    <w:uiPriority w:val="99"/>
    <w:unhideWhenUsed/>
    <w:rsid w:val="003C5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3270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MEM08008 Operate and control surface finishing waste treatment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