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75C" w:rsidP="00905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MEM08004 Finish work using wet, dry and vapour deposition methods</w:t>
      </w:r>
      <w:r>
        <w:fldChar w:fldCharType="end"/>
      </w:r>
    </w:p>
    <w:p w:rsidR="0090575C" w:rsidP="0090575C">
      <w:pPr>
        <w:pStyle w:val="Version"/>
        <w:sectPr w:rsidSect="009B0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6D3" w:rsidP="009B06D3">
      <w:pPr>
        <w:pStyle w:val="SuperHeading"/>
      </w:pPr>
      <w:r w:rsidRPr="009B06D3">
        <w:t>MEM08004 Fini</w:t>
      </w:r>
      <w:r w:rsidRPr="009B06D3">
        <w:t>sh work using wet, dry and vapour deposition methods</w:t>
      </w:r>
    </w:p>
    <w:p w:rsidR="00000000" w:rsidRPr="009B06D3" w:rsidP="009B06D3">
      <w:pPr>
        <w:pStyle w:val="Heading1"/>
      </w:pPr>
      <w:bookmarkStart w:id="1" w:name="O_947969"/>
      <w:bookmarkEnd w:id="1"/>
      <w:r w:rsidRPr="009B06D3">
        <w:t>Modification History</w:t>
      </w:r>
    </w:p>
    <w:p w:rsidR="00000000" w:rsidRPr="009B06D3" w:rsidP="0090575C">
      <w:pPr>
        <w:pStyle w:val="BodyText"/>
      </w:pPr>
      <w:r w:rsidRPr="009B06D3">
        <w:t>Release 1. Supersedes and is equivalent to MEM08004B Finish work using wet, dry and vapour deposition methods</w:t>
      </w:r>
    </w:p>
    <w:p w:rsidR="00000000" w:rsidRPr="009B06D3" w:rsidP="009B06D3">
      <w:pPr>
        <w:pStyle w:val="Heading1"/>
      </w:pPr>
      <w:bookmarkStart w:id="2" w:name="O_947977"/>
      <w:bookmarkEnd w:id="2"/>
      <w:r w:rsidRPr="009B06D3">
        <w:t>Application</w:t>
      </w:r>
    </w:p>
    <w:p w:rsidR="00000000" w:rsidRPr="009B06D3" w:rsidP="0090575C">
      <w:pPr>
        <w:pStyle w:val="BodyText"/>
      </w:pPr>
      <w:r w:rsidRPr="009B06D3">
        <w:t>This unit of competency defines the skills and knowledge required to finish work using a range of wet and dry organic coatings by hand or utilising a wide range of machines or semi or fully automatic plant.</w:t>
      </w:r>
    </w:p>
    <w:p w:rsidR="00000000" w:rsidRPr="009B06D3" w:rsidP="0090575C">
      <w:pPr>
        <w:pStyle w:val="BodyText"/>
      </w:pPr>
      <w:r w:rsidRPr="009B06D3">
        <w:t>Where straightforward monitoring of semi or auto</w:t>
      </w:r>
      <w:r w:rsidRPr="009B06D3">
        <w:t xml:space="preserve">matic machine or process is undertaken unit MEM07024 Operate and monitor machine and process should be selected. </w:t>
      </w:r>
    </w:p>
    <w:p w:rsidR="00000000" w:rsidRPr="009B06D3" w:rsidP="0090575C">
      <w:pPr>
        <w:pStyle w:val="BodyText"/>
      </w:pPr>
      <w:r w:rsidRPr="009B06D3">
        <w:t>Where the interpretation of technical drawings is required unit MEM09002 Interpret technical drawing should also be selected.</w:t>
      </w:r>
    </w:p>
    <w:p w:rsidR="00000000" w:rsidRPr="009B06D3" w:rsidP="0090575C">
      <w:pPr>
        <w:pStyle w:val="BodyText"/>
      </w:pPr>
      <w:r w:rsidRPr="009B06D3">
        <w:t>Where the sele</w:t>
      </w:r>
      <w:r w:rsidRPr="009B06D3">
        <w:t>ction and use of engineering measurement is required unit MEM12023 Perform engineering measurements should also be selected.</w:t>
      </w:r>
    </w:p>
    <w:p w:rsidR="00000000" w:rsidRPr="009B06D3" w:rsidP="0090575C">
      <w:pPr>
        <w:pStyle w:val="BodyText"/>
      </w:pPr>
      <w:r w:rsidRPr="009B06D3">
        <w:t>Where the selection and use of tools is required unit MEM18001 Use hand tools and unit MEM18002 Use power tools/hand held operatio</w:t>
      </w:r>
      <w:r w:rsidRPr="009B06D3">
        <w:t>ns, should also be selected as appropriate.</w:t>
      </w:r>
    </w:p>
    <w:p w:rsidR="00000000" w:rsidRPr="009B06D3" w:rsidP="0090575C">
      <w:pPr>
        <w:pStyle w:val="BodyText"/>
      </w:pPr>
      <w:r w:rsidRPr="009B06D3">
        <w:t>No licensing, legislative or certification requirements apply to this unit at the time of publication.</w:t>
      </w:r>
    </w:p>
    <w:p w:rsidR="00000000" w:rsidRPr="009B06D3" w:rsidP="009B06D3">
      <w:pPr>
        <w:pStyle w:val="BodyText"/>
      </w:pPr>
      <w:r w:rsidRPr="009B06D3">
        <w:rPr>
          <w:rStyle w:val="SpecialBold"/>
        </w:rPr>
        <w:t>Band:</w:t>
      </w:r>
      <w:r w:rsidRPr="009B06D3">
        <w:rPr>
          <w:rStyle w:val="SpecialBold"/>
        </w:rPr>
        <w:tab/>
        <w:t>A</w:t>
      </w:r>
    </w:p>
    <w:p w:rsidR="00000000" w:rsidRPr="009B06D3" w:rsidP="009B06D3">
      <w:pPr>
        <w:pStyle w:val="BodyText"/>
      </w:pPr>
      <w:r w:rsidRPr="009B06D3">
        <w:rPr>
          <w:rStyle w:val="SpecialBold"/>
        </w:rPr>
        <w:t>Unit Weight:</w:t>
      </w:r>
      <w:r w:rsidRPr="009B06D3">
        <w:rPr>
          <w:rStyle w:val="SpecialBold"/>
        </w:rPr>
        <w:tab/>
        <w:t>4</w:t>
      </w:r>
    </w:p>
    <w:p w:rsidR="00000000" w:rsidRPr="009B06D3" w:rsidP="009B06D3">
      <w:pPr>
        <w:pStyle w:val="AllowPageBreak"/>
      </w:pPr>
    </w:p>
    <w:p w:rsidR="00000000" w:rsidRPr="009B06D3" w:rsidP="009B06D3">
      <w:pPr>
        <w:pStyle w:val="Heading1"/>
      </w:pPr>
      <w:bookmarkStart w:id="3" w:name="O_947976"/>
      <w:bookmarkEnd w:id="3"/>
      <w:r w:rsidRPr="009B06D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MEM08002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Pre-treat work for subsequent surface c</w:t>
            </w:r>
            <w:r w:rsidRPr="009B06D3">
              <w:t>oating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Undertake manual handling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Work safely with industrial chemicals and materials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Work safely and effectively in manufacturing and engineering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BodyText"/>
            </w:pPr>
            <w:r w:rsidRPr="009B06D3">
              <w:t>Organise and communicate information</w:t>
            </w:r>
          </w:p>
        </w:tc>
      </w:tr>
    </w:tbl>
    <w:p w:rsidR="00000000" w:rsidRPr="009B06D3" w:rsidP="009B06D3">
      <w:pPr>
        <w:pStyle w:val="BodyText"/>
      </w:pPr>
    </w:p>
    <w:p w:rsidR="00000000" w:rsidRPr="009B06D3" w:rsidP="009B06D3">
      <w:pPr>
        <w:pStyle w:val="AllowPageBreak"/>
      </w:pPr>
    </w:p>
    <w:p w:rsidR="00000000" w:rsidRPr="009B06D3" w:rsidP="009B06D3">
      <w:pPr>
        <w:pStyle w:val="Heading1"/>
      </w:pPr>
      <w:bookmarkStart w:id="4" w:name="O_947975"/>
      <w:bookmarkEnd w:id="4"/>
      <w:r w:rsidRPr="009B06D3">
        <w:t>Competency Field</w:t>
      </w:r>
    </w:p>
    <w:p w:rsidR="00000000" w:rsidRPr="009B06D3" w:rsidP="0090575C">
      <w:pPr>
        <w:pStyle w:val="BodyText"/>
      </w:pPr>
      <w:r w:rsidRPr="009B06D3">
        <w:t>Surface finishing</w:t>
      </w:r>
    </w:p>
    <w:p w:rsidR="00000000" w:rsidRPr="009B06D3" w:rsidP="009B06D3">
      <w:pPr>
        <w:pStyle w:val="Heading1"/>
      </w:pPr>
      <w:bookmarkStart w:id="5" w:name="O_947973"/>
      <w:bookmarkEnd w:id="5"/>
      <w:r w:rsidRPr="009B06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Performance criteria describe the performance needed to demonstrate achievement of the element.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BodyText"/>
            </w:pPr>
            <w:r w:rsidRPr="009B06D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Follow standard operating procedures (SOPs)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Comply with work health and safety (WHS) requirements at all times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Use appropriate personal protective equipment (PPE) in accordance with SOPs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Identify job requirements from specifications, job sheets or work instructions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BodyText"/>
            </w:pPr>
            <w:r w:rsidRPr="009B06D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Assess and prepare components for required coating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Identify coating specifications from operation sheets/work procedures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Check suitability of pre-treated components for finishing process according to enterprise procedures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 xml:space="preserve">Prepare components for finishing application, as required 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 xml:space="preserve">Position/locate components for finishing according to enterprise procedures 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BodyText"/>
            </w:pPr>
            <w:r w:rsidRPr="009B06D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Perform simple mixing and estimating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Calculate mixing ratios and mix and thin a range of wet coatings to SOPs, as required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 xml:space="preserve">Estimate required coating quantities using simple surface area calculations 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BodyText"/>
            </w:pPr>
            <w:r w:rsidRPr="009B06D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Perform coating o</w:t>
            </w:r>
            <w:r w:rsidRPr="009B06D3">
              <w:rPr>
                <w:rStyle w:val="SpecialBold"/>
              </w:rPr>
              <w:t>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 xml:space="preserve">Set up equipment to specification 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Monitor coating and applied curing technique</w:t>
            </w:r>
          </w:p>
        </w:tc>
      </w:tr>
      <w:tr w:rsidTr="009B0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BodyText"/>
            </w:pPr>
            <w:r w:rsidRPr="009B06D3">
              <w:t>Check coating application, thickness and colour and maintain for compliance with specifications</w:t>
            </w:r>
          </w:p>
        </w:tc>
      </w:tr>
    </w:tbl>
    <w:p w:rsidR="00000000" w:rsidRPr="009B06D3" w:rsidP="009B06D3">
      <w:pPr>
        <w:pStyle w:val="BodyText"/>
      </w:pPr>
    </w:p>
    <w:p w:rsidR="00000000" w:rsidRPr="009B06D3" w:rsidP="009B06D3">
      <w:pPr>
        <w:pStyle w:val="AllowPageBreak"/>
      </w:pPr>
    </w:p>
    <w:p w:rsidR="00000000" w:rsidRPr="009B06D3" w:rsidP="009B06D3">
      <w:pPr>
        <w:pStyle w:val="Heading1"/>
      </w:pPr>
      <w:bookmarkStart w:id="6" w:name="O_947972"/>
      <w:bookmarkEnd w:id="6"/>
      <w:r w:rsidRPr="009B06D3">
        <w:t>Foundation Skills</w:t>
      </w:r>
    </w:p>
    <w:p w:rsidR="00000000" w:rsidRPr="009B06D3" w:rsidP="0090575C">
      <w:pPr>
        <w:pStyle w:val="BodyText"/>
      </w:pPr>
      <w:r w:rsidRPr="009B06D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B06D3" w:rsidP="0090575C">
      <w:pPr>
        <w:pStyle w:val="BodyText"/>
      </w:pPr>
      <w:r w:rsidRPr="009B06D3">
        <w:t xml:space="preserve">Foundation skills essential to performance are explicit in the performance criteria </w:t>
      </w:r>
      <w:r w:rsidRPr="009B06D3">
        <w:t>of this unit of competency.</w:t>
      </w:r>
    </w:p>
    <w:p w:rsidR="00000000" w:rsidRPr="009B06D3" w:rsidP="009B06D3">
      <w:pPr>
        <w:pStyle w:val="Heading1"/>
      </w:pPr>
      <w:bookmarkStart w:id="7" w:name="O_947971"/>
      <w:bookmarkEnd w:id="7"/>
      <w:r w:rsidRPr="009B06D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9B06D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t>This field allows for different work environments and conditions that may affect performance. Essential operating conditions that may be present (depending on the work situation, needs of the</w:t>
            </w:r>
            <w:r w:rsidRPr="009B06D3">
              <w:t xml:space="preserve"> candidate, accessibility of the item, and local industry and regional contexts) are included.</w:t>
            </w:r>
          </w:p>
        </w:tc>
      </w:tr>
      <w:tr w:rsidTr="009B06D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Coating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ListBullet"/>
            </w:pPr>
            <w:r w:rsidRPr="009B06D3">
              <w:t>electrostatic powder coating</w:t>
            </w:r>
          </w:p>
          <w:p w:rsidR="00000000" w:rsidRPr="009B06D3" w:rsidP="009B06D3">
            <w:pPr>
              <w:pStyle w:val="ListBullet"/>
            </w:pPr>
            <w:r w:rsidRPr="009B06D3">
              <w:t>electrophoretic coating</w:t>
            </w:r>
          </w:p>
          <w:p w:rsidR="00000000" w:rsidRPr="009B06D3" w:rsidP="009B06D3">
            <w:pPr>
              <w:pStyle w:val="ListBullet"/>
            </w:pPr>
            <w:r w:rsidRPr="009B06D3">
              <w:t>industrial spray coating and lacquering</w:t>
            </w:r>
          </w:p>
          <w:p w:rsidR="00000000" w:rsidRPr="009B06D3" w:rsidP="009B06D3">
            <w:pPr>
              <w:pStyle w:val="ListBullet"/>
            </w:pPr>
            <w:r w:rsidRPr="009B06D3">
              <w:t>electroless (auto catalytic) nickel or copper plating</w:t>
            </w:r>
          </w:p>
          <w:p w:rsidR="00000000" w:rsidRPr="009B06D3" w:rsidP="009B06D3">
            <w:pPr>
              <w:pStyle w:val="ListBullet"/>
            </w:pPr>
            <w:r w:rsidRPr="009B06D3">
              <w:t>phosphating</w:t>
            </w:r>
          </w:p>
          <w:p w:rsidR="00000000" w:rsidRPr="009B06D3" w:rsidP="009B06D3">
            <w:pPr>
              <w:pStyle w:val="ListBullet"/>
            </w:pPr>
            <w:r w:rsidRPr="009B06D3">
              <w:t>chromating</w:t>
            </w:r>
          </w:p>
          <w:p w:rsidR="00000000" w:rsidRPr="009B06D3" w:rsidP="009B06D3">
            <w:pPr>
              <w:pStyle w:val="ListBullet"/>
            </w:pPr>
            <w:r w:rsidRPr="009B06D3">
              <w:t>galvanising</w:t>
            </w:r>
          </w:p>
          <w:p w:rsidR="00000000" w:rsidRPr="009B06D3" w:rsidP="009B06D3">
            <w:pPr>
              <w:pStyle w:val="ListBullet"/>
            </w:pPr>
            <w:r w:rsidRPr="009B06D3">
              <w:t>hot tinning</w:t>
            </w:r>
          </w:p>
          <w:p w:rsidR="00000000" w:rsidRPr="009B06D3" w:rsidP="009B06D3">
            <w:pPr>
              <w:pStyle w:val="ListBullet"/>
            </w:pPr>
            <w:r w:rsidRPr="009B06D3">
              <w:t>sputter deposition</w:t>
            </w:r>
          </w:p>
          <w:p w:rsidR="00000000" w:rsidRPr="009B06D3" w:rsidP="009B06D3">
            <w:pPr>
              <w:pStyle w:val="ListBullet"/>
            </w:pPr>
            <w:r w:rsidRPr="009B06D3">
              <w:t>vacuum evaporation</w:t>
            </w:r>
          </w:p>
          <w:p w:rsidR="00000000" w:rsidRPr="009B06D3" w:rsidP="009B06D3">
            <w:pPr>
              <w:pStyle w:val="ListBullet"/>
            </w:pPr>
            <w:r w:rsidRPr="009B06D3">
              <w:t>ion plating</w:t>
            </w:r>
          </w:p>
          <w:p w:rsidR="00000000" w:rsidRPr="009B06D3" w:rsidP="009B06D3">
            <w:pPr>
              <w:pStyle w:val="ListBullet"/>
            </w:pPr>
            <w:r w:rsidRPr="009B06D3">
              <w:t>paints</w:t>
            </w:r>
          </w:p>
          <w:p w:rsidR="00000000" w:rsidRPr="009B06D3" w:rsidP="009B06D3">
            <w:pPr>
              <w:pStyle w:val="ListBullet"/>
            </w:pPr>
            <w:r w:rsidRPr="009B06D3">
              <w:t xml:space="preserve">stains </w:t>
            </w:r>
          </w:p>
          <w:p w:rsidR="00000000" w:rsidRPr="009B06D3" w:rsidP="009B06D3">
            <w:pPr>
              <w:pStyle w:val="ListBullet"/>
            </w:pPr>
            <w:r w:rsidRPr="009B06D3">
              <w:t>other liquid finishes</w:t>
            </w:r>
          </w:p>
          <w:p w:rsidR="00000000" w:rsidP="009B06D3">
            <w:pPr>
              <w:pStyle w:val="BodyText"/>
              <w:rPr>
                <w:lang w:val="en-NZ"/>
              </w:rPr>
            </w:pPr>
          </w:p>
        </w:tc>
      </w:tr>
      <w:tr w:rsidTr="009B06D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Prepared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ListBullet"/>
            </w:pPr>
            <w:r w:rsidRPr="009B06D3">
              <w:t>visual inspection for contamination</w:t>
            </w:r>
          </w:p>
          <w:p w:rsidR="00000000" w:rsidRPr="009B06D3" w:rsidP="009B06D3">
            <w:pPr>
              <w:pStyle w:val="ListBullet"/>
            </w:pPr>
            <w:r w:rsidRPr="009B06D3">
              <w:t>masking out</w:t>
            </w:r>
          </w:p>
          <w:p w:rsidR="00000000" w:rsidRPr="009B06D3" w:rsidP="009B06D3">
            <w:pPr>
              <w:pStyle w:val="ListBullet"/>
            </w:pPr>
            <w:r w:rsidRPr="009B06D3">
              <w:t>racking</w:t>
            </w:r>
          </w:p>
          <w:p w:rsidR="00000000" w:rsidRPr="009B06D3" w:rsidP="009B06D3">
            <w:pPr>
              <w:pStyle w:val="ListBullet"/>
            </w:pPr>
            <w:r w:rsidRPr="009B06D3">
              <w:t>identification of correct materials to be used</w:t>
            </w:r>
          </w:p>
          <w:p w:rsidR="00000000" w:rsidRPr="009B06D3" w:rsidP="009B06D3">
            <w:pPr>
              <w:pStyle w:val="ListBullet"/>
            </w:pPr>
            <w:r w:rsidRPr="009B06D3">
              <w:t>ensuring cleanliness of work area and equipment</w:t>
            </w:r>
          </w:p>
          <w:p w:rsidR="00000000" w:rsidRPr="009B06D3" w:rsidP="009B06D3">
            <w:pPr>
              <w:pStyle w:val="ListBullet"/>
            </w:pPr>
            <w:r w:rsidRPr="009B06D3">
              <w:t xml:space="preserve">operational testing of equipment </w:t>
            </w:r>
          </w:p>
          <w:p w:rsidR="00000000" w:rsidP="009B06D3">
            <w:pPr>
              <w:pStyle w:val="BodyText"/>
              <w:rPr>
                <w:lang w:val="en-NZ"/>
              </w:rPr>
            </w:pPr>
          </w:p>
        </w:tc>
      </w:tr>
      <w:tr w:rsidTr="009B06D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6D3">
            <w:pPr>
              <w:pStyle w:val="BodyText"/>
              <w:rPr>
                <w:lang w:val="en-NZ"/>
              </w:rPr>
            </w:pPr>
            <w:r w:rsidRPr="009B06D3">
              <w:rPr>
                <w:rStyle w:val="SpecialBold"/>
              </w:rPr>
              <w:t>Coating operation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6D3" w:rsidP="009B06D3">
            <w:pPr>
              <w:pStyle w:val="ListBullet"/>
            </w:pPr>
            <w:r w:rsidRPr="009B06D3">
              <w:t>spray a</w:t>
            </w:r>
            <w:r w:rsidRPr="009B06D3">
              <w:t>pplication</w:t>
            </w:r>
          </w:p>
          <w:p w:rsidR="00000000" w:rsidRPr="009B06D3" w:rsidP="009B06D3">
            <w:pPr>
              <w:pStyle w:val="ListBullet"/>
            </w:pPr>
            <w:r w:rsidRPr="009B06D3">
              <w:t xml:space="preserve">dip coating </w:t>
            </w:r>
          </w:p>
        </w:tc>
      </w:tr>
    </w:tbl>
    <w:p w:rsidR="00000000" w:rsidRPr="009B06D3" w:rsidP="009B06D3">
      <w:pPr>
        <w:pStyle w:val="BodyText"/>
      </w:pPr>
    </w:p>
    <w:p w:rsidR="00000000" w:rsidRPr="009B06D3" w:rsidP="009B06D3">
      <w:pPr>
        <w:pStyle w:val="AllowPageBreak"/>
      </w:pPr>
    </w:p>
    <w:p w:rsidR="00000000" w:rsidRPr="009B06D3" w:rsidP="009B06D3">
      <w:pPr>
        <w:pStyle w:val="Heading1"/>
      </w:pPr>
      <w:bookmarkStart w:id="8" w:name="O_947970"/>
      <w:bookmarkEnd w:id="8"/>
      <w:r w:rsidRPr="009B06D3">
        <w:t>Unit Mapping Information</w:t>
      </w:r>
    </w:p>
    <w:p w:rsidR="00000000" w:rsidRPr="009B06D3" w:rsidP="0090575C">
      <w:pPr>
        <w:pStyle w:val="BodyText"/>
      </w:pPr>
      <w:r w:rsidRPr="009B06D3">
        <w:t>Release 1. Supersedes and is equivalent to MEM08004B Finish work using wet, dry and vapour deposition methods</w:t>
      </w:r>
    </w:p>
    <w:p w:rsidR="00000000" w:rsidRPr="009B06D3" w:rsidP="009B06D3">
      <w:pPr>
        <w:pStyle w:val="Heading1"/>
      </w:pPr>
      <w:bookmarkStart w:id="9" w:name="O_947963"/>
      <w:bookmarkEnd w:id="9"/>
      <w:r w:rsidRPr="009B06D3">
        <w:t>Links</w:t>
      </w:r>
    </w:p>
    <w:p w:rsidR="00000000" w:rsidRPr="009B06D3" w:rsidP="0090575C">
      <w:pPr>
        <w:pStyle w:val="BodyText"/>
      </w:pPr>
      <w:r w:rsidRPr="009B0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C5C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B06D3" w:rsidP="009B06D3"/>
    <w:sectPr w:rsidSect="009B0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6D3" w:rsidRPr="0090575C" w:rsidP="00905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5C" w:rsidP="009B0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75C" w:rsidP="009B0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575C" w:rsidP="009B0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6D3" w:rsidRPr="0090575C" w:rsidP="00905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5C" w:rsidRPr="002D2AF8" w:rsidP="009B0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MEM08004 Finish work using wet, dry and vapour deposition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0575C" w:rsidP="009B0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C29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861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6D3"/>
  </w:style>
  <w:style w:type="character" w:customStyle="1" w:styleId="Heading1Char">
    <w:name w:val="Heading 1 Char"/>
    <w:basedOn w:val="DefaultParagraphFont"/>
    <w:link w:val="Heading1"/>
    <w:rsid w:val="009B0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6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6D3"/>
    <w:rPr>
      <w:b/>
      <w:spacing w:val="0"/>
    </w:rPr>
  </w:style>
  <w:style w:type="paragraph" w:customStyle="1" w:styleId="SuperHeading">
    <w:name w:val="SuperHeading"/>
    <w:basedOn w:val="Normal"/>
    <w:rsid w:val="009B0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6D3"/>
    <w:rPr>
      <w:i/>
    </w:rPr>
  </w:style>
  <w:style w:type="paragraph" w:styleId="Caption">
    <w:name w:val="caption"/>
    <w:basedOn w:val="BodyText"/>
    <w:next w:val="Normal"/>
    <w:qFormat/>
    <w:rsid w:val="009B0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6D3"/>
  </w:style>
  <w:style w:type="paragraph" w:styleId="TableofFigures">
    <w:name w:val="table of figures"/>
    <w:basedOn w:val="Normal"/>
    <w:next w:val="Normal"/>
    <w:semiHidden/>
    <w:rsid w:val="009B0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6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6D3"/>
    <w:rPr>
      <w:rFonts w:ascii="Wingdings" w:hAnsi="Wingdings"/>
    </w:rPr>
  </w:style>
  <w:style w:type="paragraph" w:customStyle="1" w:styleId="TableHeading">
    <w:name w:val="Table Heading"/>
    <w:basedOn w:val="HeadingBase"/>
    <w:rsid w:val="009B0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6D3"/>
    <w:rPr>
      <w:color w:val="0033CC"/>
      <w:u w:val="none"/>
    </w:rPr>
  </w:style>
  <w:style w:type="paragraph" w:customStyle="1" w:styleId="BodyTextRight">
    <w:name w:val="Body Text Right"/>
    <w:basedOn w:val="BodyText"/>
    <w:rsid w:val="009B0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6D3"/>
    <w:rPr>
      <w:sz w:val="32"/>
    </w:rPr>
  </w:style>
  <w:style w:type="paragraph" w:customStyle="1" w:styleId="HeadingProcedure">
    <w:name w:val="Heading Procedure"/>
    <w:basedOn w:val="HeadingBase"/>
    <w:next w:val="Normal"/>
    <w:rsid w:val="009B0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6D3"/>
    <w:pPr>
      <w:spacing w:before="60" w:after="60"/>
    </w:pPr>
  </w:style>
  <w:style w:type="paragraph" w:styleId="ListContinue">
    <w:name w:val="List Continue"/>
    <w:basedOn w:val="List"/>
    <w:rsid w:val="009B06D3"/>
    <w:pPr>
      <w:ind w:firstLine="0"/>
    </w:pPr>
  </w:style>
  <w:style w:type="paragraph" w:customStyle="1" w:styleId="ListNote">
    <w:name w:val="List Note"/>
    <w:basedOn w:val="List"/>
    <w:rsid w:val="009B0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6D3"/>
    <w:rPr>
      <w:rFonts w:ascii="Courier New" w:hAnsi="Courier New"/>
    </w:rPr>
  </w:style>
  <w:style w:type="paragraph" w:customStyle="1" w:styleId="NoteBullet">
    <w:name w:val="Note Bullet"/>
    <w:basedOn w:val="Note"/>
    <w:rsid w:val="009B0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6D3"/>
    <w:rPr>
      <w:b/>
      <w:smallCaps/>
    </w:rPr>
  </w:style>
  <w:style w:type="paragraph" w:customStyle="1" w:styleId="TableListNumber">
    <w:name w:val="Table List Number"/>
    <w:basedOn w:val="ListNumber"/>
    <w:rsid w:val="009B0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6D3"/>
    <w:pPr>
      <w:numPr>
        <w:numId w:val="8"/>
      </w:numPr>
    </w:pPr>
  </w:style>
  <w:style w:type="paragraph" w:customStyle="1" w:styleId="ListAlpha2">
    <w:name w:val="List Alpha 2"/>
    <w:basedOn w:val="List2"/>
    <w:rsid w:val="009B06D3"/>
    <w:pPr>
      <w:numPr>
        <w:numId w:val="7"/>
      </w:numPr>
    </w:pPr>
  </w:style>
  <w:style w:type="paragraph" w:styleId="List2">
    <w:name w:val="List 2"/>
    <w:basedOn w:val="BodyText"/>
    <w:rsid w:val="009B0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6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6D3"/>
    <w:pPr>
      <w:numPr>
        <w:numId w:val="3"/>
      </w:numPr>
    </w:pPr>
  </w:style>
  <w:style w:type="paragraph" w:styleId="ListContinue2">
    <w:name w:val="List Continue 2"/>
    <w:basedOn w:val="List2"/>
    <w:rsid w:val="009B06D3"/>
    <w:pPr>
      <w:ind w:firstLine="0"/>
    </w:pPr>
  </w:style>
  <w:style w:type="paragraph" w:styleId="ListContinue3">
    <w:name w:val="List Continue 3"/>
    <w:basedOn w:val="List3"/>
    <w:rsid w:val="009B06D3"/>
    <w:pPr>
      <w:ind w:left="1021" w:firstLine="0"/>
    </w:pPr>
  </w:style>
  <w:style w:type="paragraph" w:styleId="ListContinue4">
    <w:name w:val="List Continue 4"/>
    <w:basedOn w:val="List4"/>
    <w:rsid w:val="009B06D3"/>
    <w:pPr>
      <w:ind w:firstLine="0"/>
    </w:pPr>
  </w:style>
  <w:style w:type="paragraph" w:styleId="ListContinue5">
    <w:name w:val="List Continue 5"/>
    <w:basedOn w:val="List5"/>
    <w:rsid w:val="009B06D3"/>
    <w:pPr>
      <w:ind w:firstLine="0"/>
    </w:pPr>
  </w:style>
  <w:style w:type="paragraph" w:styleId="ListNumber3">
    <w:name w:val="List Number 3"/>
    <w:basedOn w:val="List3"/>
    <w:rsid w:val="009B06D3"/>
    <w:pPr>
      <w:numPr>
        <w:numId w:val="4"/>
      </w:numPr>
    </w:pPr>
  </w:style>
  <w:style w:type="paragraph" w:styleId="ListNumber4">
    <w:name w:val="List Number 4"/>
    <w:basedOn w:val="List4"/>
    <w:rsid w:val="009B06D3"/>
    <w:pPr>
      <w:numPr>
        <w:numId w:val="5"/>
      </w:numPr>
    </w:pPr>
  </w:style>
  <w:style w:type="paragraph" w:styleId="ListNumber5">
    <w:name w:val="List Number 5"/>
    <w:basedOn w:val="List5"/>
    <w:rsid w:val="009B06D3"/>
    <w:pPr>
      <w:numPr>
        <w:numId w:val="6"/>
      </w:numPr>
    </w:pPr>
  </w:style>
  <w:style w:type="paragraph" w:styleId="BlockText">
    <w:name w:val="Block Text"/>
    <w:basedOn w:val="Normal"/>
    <w:rsid w:val="009B0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6D3"/>
    <w:rPr>
      <w:sz w:val="16"/>
      <w:vertAlign w:val="superscript"/>
    </w:rPr>
  </w:style>
  <w:style w:type="character" w:customStyle="1" w:styleId="Symbols">
    <w:name w:val="Symbols"/>
    <w:basedOn w:val="DefaultParagraphFont"/>
    <w:rsid w:val="009B06D3"/>
    <w:rPr>
      <w:rFonts w:ascii="Symbol" w:hAnsi="Symbol"/>
    </w:rPr>
  </w:style>
  <w:style w:type="character" w:customStyle="1" w:styleId="MenuOptions">
    <w:name w:val="Menu Options"/>
    <w:basedOn w:val="DefaultParagraphFont"/>
    <w:rsid w:val="009B0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6D3"/>
    <w:rPr>
      <w:b/>
    </w:rPr>
  </w:style>
  <w:style w:type="character" w:customStyle="1" w:styleId="Underlined">
    <w:name w:val="Underlined"/>
    <w:basedOn w:val="DefaultParagraphFont"/>
    <w:rsid w:val="009B06D3"/>
    <w:rPr>
      <w:u w:val="single"/>
    </w:rPr>
  </w:style>
  <w:style w:type="paragraph" w:customStyle="1" w:styleId="TableBodyTextRight">
    <w:name w:val="Table Body Text Right"/>
    <w:basedOn w:val="TableBodyText"/>
    <w:rsid w:val="009B0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6D3"/>
    <w:rPr>
      <w:sz w:val="18"/>
    </w:rPr>
  </w:style>
  <w:style w:type="paragraph" w:customStyle="1" w:styleId="BodySmallRight">
    <w:name w:val="Body Small Right"/>
    <w:basedOn w:val="BodyTextRight"/>
    <w:rsid w:val="009B06D3"/>
    <w:rPr>
      <w:sz w:val="18"/>
      <w:szCs w:val="18"/>
    </w:rPr>
  </w:style>
  <w:style w:type="paragraph" w:customStyle="1" w:styleId="MarginEdition">
    <w:name w:val="Margin Edition"/>
    <w:basedOn w:val="MarginNote"/>
    <w:rsid w:val="009B0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6D3"/>
    <w:rPr>
      <w:sz w:val="2"/>
      <w:szCs w:val="2"/>
    </w:rPr>
  </w:style>
  <w:style w:type="character" w:customStyle="1" w:styleId="Small">
    <w:name w:val="Small"/>
    <w:basedOn w:val="DefaultParagraphFont"/>
    <w:rsid w:val="009B06D3"/>
    <w:rPr>
      <w:sz w:val="16"/>
    </w:rPr>
  </w:style>
  <w:style w:type="paragraph" w:customStyle="1" w:styleId="WideTable">
    <w:name w:val="Wide Table"/>
    <w:basedOn w:val="Normal"/>
    <w:rsid w:val="009B0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6D3"/>
  </w:style>
  <w:style w:type="paragraph" w:styleId="Quote">
    <w:name w:val="Quote"/>
    <w:basedOn w:val="Heading1"/>
    <w:link w:val="QuoteChar"/>
    <w:qFormat/>
    <w:rsid w:val="009B0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6D3"/>
    <w:pPr>
      <w:pageBreakBefore/>
    </w:pPr>
  </w:style>
  <w:style w:type="paragraph" w:customStyle="1" w:styleId="Border">
    <w:name w:val="Border"/>
    <w:basedOn w:val="Normal"/>
    <w:qFormat/>
    <w:rsid w:val="009B0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6D3"/>
    <w:rPr>
      <w:u w:val="single"/>
    </w:rPr>
  </w:style>
  <w:style w:type="character" w:customStyle="1" w:styleId="BoldandItalics">
    <w:name w:val="Bold and Italics"/>
    <w:qFormat/>
    <w:rsid w:val="009B06D3"/>
    <w:rPr>
      <w:b/>
      <w:i/>
      <w:u w:val="none"/>
    </w:rPr>
  </w:style>
  <w:style w:type="paragraph" w:styleId="BalloonText">
    <w:name w:val="Balloon Text"/>
    <w:basedOn w:val="Normal"/>
    <w:link w:val="BalloonTextChar"/>
    <w:rsid w:val="009B0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6D3"/>
    <w:pPr>
      <w:spacing w:before="0" w:after="0"/>
    </w:pPr>
  </w:style>
  <w:style w:type="paragraph" w:customStyle="1" w:styleId="BodyTextBold">
    <w:name w:val="Body Text Bold"/>
    <w:basedOn w:val="BodyText"/>
    <w:qFormat/>
    <w:rsid w:val="009B06D3"/>
    <w:rPr>
      <w:b/>
    </w:rPr>
  </w:style>
  <w:style w:type="character" w:styleId="Hyperlink">
    <w:name w:val="Hyperlink"/>
    <w:basedOn w:val="DefaultParagraphFont"/>
    <w:uiPriority w:val="99"/>
    <w:unhideWhenUsed/>
    <w:rsid w:val="00905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3990</Characters>
  <Application>Microsoft Office Word</Application>
  <DocSecurity>0</DocSecurity>
  <Lines>190</Lines>
  <Paragraphs>118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MEM08004 Finish work using wet, dry and vapour deposition methods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2023-02-03T07:04:00Z</dcterms:created>
  <dcterms:modified xsi:type="dcterms:W3CDTF">2023-02-03T07:04:00Z</dcterms:modified>
</cp:coreProperties>
</file>