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5E4" w:rsidP="00BF4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MEM08004 Finish work using wet, dry and vapour deposition methods</w:t>
      </w:r>
      <w:r>
        <w:fldChar w:fldCharType="end"/>
      </w:r>
    </w:p>
    <w:p w:rsidR="00BF45E4" w:rsidP="00BF45E4">
      <w:pPr>
        <w:pStyle w:val="Version"/>
        <w:sectPr w:rsidSect="002C0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B1C" w:rsidP="002C0B1C">
      <w:pPr>
        <w:pStyle w:val="SuperHeading"/>
      </w:pPr>
      <w:r w:rsidRPr="002C0B1C">
        <w:t>Assessment Requirements for MEM08004 Finish work using wet, dry and vapour deposition methods</w:t>
      </w:r>
    </w:p>
    <w:p w:rsidR="00000000" w:rsidRPr="002C0B1C" w:rsidP="002C0B1C">
      <w:pPr>
        <w:pStyle w:val="Heading1"/>
      </w:pPr>
      <w:bookmarkStart w:id="1" w:name="O_947965"/>
      <w:bookmarkEnd w:id="1"/>
      <w:r w:rsidRPr="002C0B1C">
        <w:t>Modification History</w:t>
      </w:r>
    </w:p>
    <w:p w:rsidR="00000000" w:rsidRPr="002C0B1C" w:rsidP="00BF45E4">
      <w:pPr>
        <w:pStyle w:val="BodyText"/>
      </w:pPr>
      <w:r w:rsidRPr="002C0B1C">
        <w:t>Release 1. Supersedes and is equivalent to MEM08004B Finish work using wet, dry and vapour deposition methods</w:t>
      </w:r>
    </w:p>
    <w:p w:rsidR="00000000" w:rsidRPr="002C0B1C" w:rsidP="002C0B1C">
      <w:pPr>
        <w:pStyle w:val="Heading1"/>
      </w:pPr>
      <w:bookmarkStart w:id="2" w:name="O_947968"/>
      <w:bookmarkEnd w:id="2"/>
      <w:r w:rsidRPr="002C0B1C">
        <w:t>Performance Evidence</w:t>
      </w:r>
    </w:p>
    <w:p w:rsidR="00000000" w:rsidRPr="002C0B1C" w:rsidP="00BF45E4">
      <w:pPr>
        <w:pStyle w:val="BodyText"/>
      </w:pPr>
      <w:r w:rsidRPr="002C0B1C">
        <w:t>Evidence required to demonstrate competence in this unit must be relevant to and satisfy the requirements of the elements and performance criteria on at least two (2) occasions and include:</w:t>
      </w:r>
    </w:p>
    <w:p w:rsidR="00000000" w:rsidRPr="002C0B1C" w:rsidP="002C0B1C">
      <w:pPr>
        <w:pStyle w:val="ListBullet"/>
      </w:pPr>
      <w:r w:rsidRPr="002C0B1C">
        <w:t>following work instructions, standar</w:t>
      </w:r>
      <w:r w:rsidRPr="002C0B1C">
        <w:t xml:space="preserve">d operating procedures (SOPs) and safe work practices </w:t>
      </w:r>
    </w:p>
    <w:p w:rsidR="00000000" w:rsidRPr="002C0B1C" w:rsidP="002C0B1C">
      <w:pPr>
        <w:pStyle w:val="ListBullet"/>
      </w:pPr>
      <w:r w:rsidRPr="002C0B1C">
        <w:t>identifying components for coating, checking their condition and suitability for coating to accurately determine the process and materials required</w:t>
      </w:r>
    </w:p>
    <w:p w:rsidR="00000000" w:rsidRPr="002C0B1C" w:rsidP="002C0B1C">
      <w:pPr>
        <w:pStyle w:val="ListBullet"/>
      </w:pPr>
      <w:r w:rsidRPr="002C0B1C">
        <w:t>preparing and locating components for coating</w:t>
      </w:r>
    </w:p>
    <w:p w:rsidR="00000000" w:rsidRPr="002C0B1C" w:rsidP="002C0B1C">
      <w:pPr>
        <w:pStyle w:val="ListBullet"/>
      </w:pPr>
      <w:r w:rsidRPr="002C0B1C">
        <w:t>calcula</w:t>
      </w:r>
      <w:r w:rsidRPr="002C0B1C">
        <w:t>ting surface area of components to be coated to determine the required coating quantities</w:t>
      </w:r>
    </w:p>
    <w:p w:rsidR="00000000" w:rsidRPr="002C0B1C" w:rsidP="002C0B1C">
      <w:pPr>
        <w:pStyle w:val="ListBullet"/>
      </w:pPr>
      <w:r w:rsidRPr="002C0B1C">
        <w:t>setting up and operating coating equipment, coating products and curing the coating</w:t>
      </w:r>
    </w:p>
    <w:p w:rsidR="00000000" w:rsidRPr="002C0B1C" w:rsidP="002C0B1C">
      <w:pPr>
        <w:pStyle w:val="ListBullet"/>
      </w:pPr>
      <w:r w:rsidRPr="002C0B1C">
        <w:t>checking that the thickness and colour meets specifications.</w:t>
      </w:r>
    </w:p>
    <w:p w:rsidR="00000000" w:rsidRPr="002C0B1C" w:rsidP="002C0B1C">
      <w:pPr>
        <w:pStyle w:val="AllowPageBreak"/>
      </w:pPr>
    </w:p>
    <w:p w:rsidR="00000000" w:rsidRPr="002C0B1C" w:rsidP="002C0B1C">
      <w:pPr>
        <w:pStyle w:val="Heading1"/>
      </w:pPr>
      <w:bookmarkStart w:id="3" w:name="O_947967"/>
      <w:bookmarkEnd w:id="3"/>
      <w:r w:rsidRPr="002C0B1C">
        <w:t>Know</w:t>
      </w:r>
      <w:r w:rsidRPr="002C0B1C">
        <w:t>ledge Evidence</w:t>
      </w:r>
    </w:p>
    <w:p w:rsidR="00000000" w:rsidRPr="002C0B1C" w:rsidP="00BF45E4">
      <w:pPr>
        <w:pStyle w:val="BodyText"/>
      </w:pPr>
      <w:r w:rsidRPr="002C0B1C">
        <w:t>Evidence required to demonstrate the required knowledge for this unit must be relevant to and satisfy the requirements of the elements and performance criteria and include knowledge of:</w:t>
      </w:r>
    </w:p>
    <w:p w:rsidR="00000000" w:rsidRPr="002C0B1C" w:rsidP="002C0B1C">
      <w:pPr>
        <w:pStyle w:val="ListBullet"/>
      </w:pPr>
      <w:r w:rsidRPr="002C0B1C">
        <w:t>safe work practices and procedures and use of personal</w:t>
      </w:r>
      <w:r w:rsidRPr="002C0B1C">
        <w:t xml:space="preserve"> protective equipment (PPE)</w:t>
      </w:r>
    </w:p>
    <w:p w:rsidR="00000000" w:rsidRPr="002C0B1C" w:rsidP="002C0B1C">
      <w:pPr>
        <w:pStyle w:val="ListBullet"/>
      </w:pPr>
      <w:r w:rsidRPr="002C0B1C">
        <w:t>coating work and the correct process to be used for given components</w:t>
      </w:r>
    </w:p>
    <w:p w:rsidR="00000000" w:rsidRPr="002C0B1C" w:rsidP="002C0B1C">
      <w:pPr>
        <w:pStyle w:val="ListBullet"/>
      </w:pPr>
      <w:r w:rsidRPr="002C0B1C">
        <w:t>coating specifications</w:t>
      </w:r>
    </w:p>
    <w:p w:rsidR="00000000" w:rsidRPr="002C0B1C" w:rsidP="002C0B1C">
      <w:pPr>
        <w:pStyle w:val="ListBullet"/>
      </w:pPr>
      <w:r w:rsidRPr="002C0B1C">
        <w:t>appropriate type of racking for the coating process and reasons for selecting the chosen rack type</w:t>
      </w:r>
    </w:p>
    <w:p w:rsidR="00000000" w:rsidRPr="002C0B1C" w:rsidP="002C0B1C">
      <w:pPr>
        <w:pStyle w:val="ListBullet"/>
      </w:pPr>
      <w:r w:rsidRPr="002C0B1C">
        <w:t xml:space="preserve">procedures for racking components to </w:t>
      </w:r>
      <w:r w:rsidRPr="002C0B1C">
        <w:t>be coated</w:t>
      </w:r>
    </w:p>
    <w:p w:rsidR="00000000" w:rsidRPr="002C0B1C" w:rsidP="002C0B1C">
      <w:pPr>
        <w:pStyle w:val="ListBullet"/>
      </w:pPr>
      <w:r w:rsidRPr="002C0B1C">
        <w:t>source of data on mixing ratios for wet coatings to determine mixing ratios for given tasks</w:t>
      </w:r>
    </w:p>
    <w:p w:rsidR="00000000" w:rsidRPr="002C0B1C" w:rsidP="002C0B1C">
      <w:pPr>
        <w:pStyle w:val="ListBullet"/>
      </w:pPr>
      <w:r w:rsidRPr="002C0B1C">
        <w:t>function of thinners as applied to the application of wet coatings</w:t>
      </w:r>
    </w:p>
    <w:p w:rsidR="00000000" w:rsidRPr="002C0B1C" w:rsidP="002C0B1C">
      <w:pPr>
        <w:pStyle w:val="ListBullet"/>
      </w:pPr>
      <w:r w:rsidRPr="002C0B1C">
        <w:t>procedures to be followed when mixing wet coatings</w:t>
      </w:r>
    </w:p>
    <w:p w:rsidR="00000000" w:rsidRPr="002C0B1C" w:rsidP="002C0B1C">
      <w:pPr>
        <w:pStyle w:val="ListBullet"/>
      </w:pPr>
      <w:r w:rsidRPr="002C0B1C">
        <w:t>calculation techniques to determine the surface area to be coated and the coverage rate of the coating material to be applied</w:t>
      </w:r>
    </w:p>
    <w:p w:rsidR="00000000" w:rsidRPr="002C0B1C" w:rsidP="002C0B1C">
      <w:pPr>
        <w:pStyle w:val="ListBullet"/>
      </w:pPr>
      <w:r w:rsidRPr="002C0B1C">
        <w:t>procedures for estimating quantities of coating materials</w:t>
      </w:r>
    </w:p>
    <w:p w:rsidR="00000000" w:rsidRPr="002C0B1C" w:rsidP="002C0B1C">
      <w:pPr>
        <w:pStyle w:val="ListBullet"/>
      </w:pPr>
      <w:r w:rsidRPr="002C0B1C">
        <w:t>types of equipment used for a variety of coating processes and reasons f</w:t>
      </w:r>
      <w:r w:rsidRPr="002C0B1C">
        <w:t>or selecting the chosen equipment for given coating tasks</w:t>
      </w:r>
    </w:p>
    <w:p w:rsidR="00000000" w:rsidRPr="002C0B1C" w:rsidP="002C0B1C">
      <w:pPr>
        <w:pStyle w:val="ListBullet"/>
      </w:pPr>
      <w:r w:rsidRPr="002C0B1C">
        <w:t>operating procedures applicable to the selected coating equipment</w:t>
      </w:r>
    </w:p>
    <w:p w:rsidR="00000000" w:rsidRPr="002C0B1C" w:rsidP="002C0B1C">
      <w:pPr>
        <w:pStyle w:val="ListBullet"/>
      </w:pPr>
      <w:r w:rsidRPr="002C0B1C">
        <w:t>coating and curing techniques and reasons for selecting the chosen coating and curing techniques</w:t>
      </w:r>
    </w:p>
    <w:p w:rsidR="00000000" w:rsidRPr="002C0B1C" w:rsidP="002C0B1C">
      <w:pPr>
        <w:pStyle w:val="ListBullet"/>
      </w:pPr>
      <w:r w:rsidRPr="002C0B1C">
        <w:t>monitoring coating procedures to be</w:t>
      </w:r>
      <w:r w:rsidRPr="002C0B1C">
        <w:t xml:space="preserve"> followed</w:t>
      </w:r>
    </w:p>
    <w:p w:rsidR="00000000" w:rsidRPr="002C0B1C" w:rsidP="002C0B1C">
      <w:pPr>
        <w:pStyle w:val="ListBullet"/>
      </w:pPr>
      <w:r w:rsidRPr="002C0B1C">
        <w:t xml:space="preserve">examples of coating defects and their causes </w:t>
      </w:r>
    </w:p>
    <w:p w:rsidR="00000000" w:rsidRPr="002C0B1C" w:rsidP="002C0B1C">
      <w:pPr>
        <w:pStyle w:val="ListBullet"/>
      </w:pPr>
      <w:r w:rsidRPr="002C0B1C">
        <w:t>procedures for rectifying and/or reporting coating defects</w:t>
      </w:r>
    </w:p>
    <w:p w:rsidR="00000000" w:rsidRPr="002C0B1C" w:rsidP="002C0B1C">
      <w:pPr>
        <w:pStyle w:val="ListBullet"/>
      </w:pPr>
      <w:r w:rsidRPr="002C0B1C">
        <w:t>coating thickness and colour to be achieved and the means of checking this including the frequency of checks to be undertaken.</w:t>
      </w:r>
    </w:p>
    <w:p w:rsidR="00000000" w:rsidRPr="002C0B1C" w:rsidP="002C0B1C">
      <w:pPr>
        <w:pStyle w:val="AllowPageBreak"/>
      </w:pPr>
    </w:p>
    <w:p w:rsidR="00000000" w:rsidRPr="002C0B1C" w:rsidP="002C0B1C">
      <w:pPr>
        <w:pStyle w:val="Heading1"/>
      </w:pPr>
      <w:bookmarkStart w:id="4" w:name="O_947966"/>
      <w:bookmarkEnd w:id="4"/>
      <w:r w:rsidRPr="002C0B1C">
        <w:t>Assessment Conditions</w:t>
      </w:r>
    </w:p>
    <w:p w:rsidR="00000000" w:rsidRPr="002C0B1C" w:rsidP="002C0B1C">
      <w:pPr>
        <w:pStyle w:val="ListBullet"/>
      </w:pPr>
      <w:r w:rsidRPr="002C0B1C">
        <w:t>Assessors must:</w:t>
      </w:r>
    </w:p>
    <w:p w:rsidR="00000000" w:rsidRPr="002C0B1C" w:rsidP="002C0B1C">
      <w:pPr>
        <w:pStyle w:val="ListBullet2"/>
      </w:pPr>
      <w:r w:rsidRPr="002C0B1C">
        <w:t>have vocational competency in finishing work using wet, dry and vapour deposition methods at least to the level being assessed with relevant industry knowledge and experience</w:t>
      </w:r>
    </w:p>
    <w:p w:rsidR="00000000" w:rsidRPr="002C0B1C" w:rsidP="002C0B1C">
      <w:pPr>
        <w:pStyle w:val="ListBullet2"/>
      </w:pPr>
      <w:r w:rsidRPr="002C0B1C">
        <w:t xml:space="preserve">satisfy the assessor requirements in the </w:t>
      </w:r>
      <w:r w:rsidRPr="002C0B1C">
        <w:rPr>
          <w:rStyle w:val="Emphasis"/>
        </w:rPr>
        <w:t xml:space="preserve">Standards for Registered Training Organisations 2015 or its replacement </w:t>
      </w:r>
      <w:r w:rsidRPr="002C0B1C">
        <w:t xml:space="preserve">and comply with the </w:t>
      </w:r>
      <w:r w:rsidRPr="002C0B1C">
        <w:rPr>
          <w:rStyle w:val="Emphasis"/>
        </w:rPr>
        <w:t xml:space="preserve">National Vocational Education and Training Regulator Act 2011, </w:t>
      </w:r>
      <w:r w:rsidRPr="002C0B1C">
        <w:t>its replacement</w:t>
      </w:r>
      <w:r w:rsidRPr="002C0B1C">
        <w:rPr>
          <w:rStyle w:val="Emphasis"/>
        </w:rPr>
        <w:t xml:space="preserve"> </w:t>
      </w:r>
      <w:r w:rsidRPr="002C0B1C">
        <w:t>or equivalent legislation covering VET regul</w:t>
      </w:r>
      <w:r w:rsidRPr="002C0B1C">
        <w:t>ation in a non-referring state/territory as the case requires</w:t>
      </w:r>
    </w:p>
    <w:p w:rsidR="00000000" w:rsidRPr="002C0B1C" w:rsidP="002C0B1C">
      <w:pPr>
        <w:pStyle w:val="ListBullet"/>
      </w:pPr>
      <w:r w:rsidRPr="002C0B1C">
        <w:t>Where possible assessment must occur in operational workplace situations. Where this is not possible or where personal safety or environmental damage are limiting factors, assessment must occur</w:t>
      </w:r>
      <w:r w:rsidRPr="002C0B1C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2C0B1C">
        <w:t>job role environment skills</w:t>
      </w:r>
    </w:p>
    <w:p w:rsidR="00000000" w:rsidRPr="002C0B1C" w:rsidP="002C0B1C">
      <w:pPr>
        <w:pStyle w:val="ListBullet"/>
      </w:pPr>
      <w:r w:rsidRPr="002C0B1C">
        <w:t>Conditions for assessment must include access to all tools, equipment, materials and documentation required, including relevant workplace procedures, product and manufacturing specifications</w:t>
      </w:r>
    </w:p>
    <w:p w:rsidR="00000000" w:rsidRPr="002C0B1C" w:rsidP="002C0B1C">
      <w:pPr>
        <w:pStyle w:val="ListBullet"/>
      </w:pPr>
      <w:r w:rsidRPr="002C0B1C">
        <w:t>Assessment processes and techniques m</w:t>
      </w:r>
      <w:r w:rsidRPr="002C0B1C">
        <w:t>ust be appropriate to the language, literacy and numeracy requirements of the work being performed and the needs of the candidate.</w:t>
      </w:r>
    </w:p>
    <w:p w:rsidR="00000000" w:rsidRPr="002C0B1C" w:rsidP="002C0B1C">
      <w:pPr>
        <w:pStyle w:val="AllowPageBreak"/>
      </w:pPr>
    </w:p>
    <w:p w:rsidR="00000000" w:rsidRPr="002C0B1C" w:rsidP="002C0B1C">
      <w:pPr>
        <w:pStyle w:val="Heading1"/>
      </w:pPr>
      <w:bookmarkStart w:id="5" w:name="O_947964"/>
      <w:bookmarkEnd w:id="5"/>
      <w:r w:rsidRPr="002C0B1C">
        <w:t>Links</w:t>
      </w:r>
    </w:p>
    <w:p w:rsidR="00000000" w:rsidRPr="002C0B1C" w:rsidP="00BF45E4">
      <w:pPr>
        <w:pStyle w:val="BodyText"/>
      </w:pPr>
      <w:r w:rsidRPr="002C0B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710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0B1C" w:rsidP="002C0B1C"/>
    <w:sectPr w:rsidSect="002C0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1C" w:rsidRPr="00BF45E4" w:rsidP="00BF4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E4" w:rsidP="002C0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5E4" w:rsidP="002C0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45E4" w:rsidP="002C0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B1C" w:rsidRPr="00BF45E4" w:rsidP="00BF4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E4" w:rsidRPr="002D2AF8" w:rsidP="002C0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MEM08004 Finish work using wet, dry and vapour deposition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45E4" w:rsidP="002C0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7CF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AC3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16F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B1C"/>
  </w:style>
  <w:style w:type="character" w:customStyle="1" w:styleId="Heading1Char">
    <w:name w:val="Heading 1 Char"/>
    <w:basedOn w:val="DefaultParagraphFont"/>
    <w:link w:val="Heading1"/>
    <w:rsid w:val="002C0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B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B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0B1C"/>
    <w:rPr>
      <w:i/>
    </w:rPr>
  </w:style>
  <w:style w:type="paragraph" w:customStyle="1" w:styleId="SuperHeading">
    <w:name w:val="SuperHeading"/>
    <w:basedOn w:val="Normal"/>
    <w:rsid w:val="002C0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B1C"/>
    <w:rPr>
      <w:b/>
      <w:spacing w:val="0"/>
    </w:rPr>
  </w:style>
  <w:style w:type="paragraph" w:customStyle="1" w:styleId="SuperTitle">
    <w:name w:val="SuperTitle"/>
    <w:basedOn w:val="Title"/>
    <w:rsid w:val="002C0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B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B1C"/>
  </w:style>
  <w:style w:type="paragraph" w:styleId="TableofFigures">
    <w:name w:val="table of figures"/>
    <w:basedOn w:val="Normal"/>
    <w:next w:val="Normal"/>
    <w:semiHidden/>
    <w:rsid w:val="002C0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B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B1C"/>
    <w:rPr>
      <w:rFonts w:ascii="Wingdings" w:hAnsi="Wingdings"/>
    </w:rPr>
  </w:style>
  <w:style w:type="paragraph" w:customStyle="1" w:styleId="TableHeading">
    <w:name w:val="Table Heading"/>
    <w:basedOn w:val="HeadingBase"/>
    <w:rsid w:val="002C0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B1C"/>
    <w:rPr>
      <w:color w:val="0033CC"/>
      <w:u w:val="none"/>
    </w:rPr>
  </w:style>
  <w:style w:type="paragraph" w:customStyle="1" w:styleId="BodyTextRight">
    <w:name w:val="Body Text Right"/>
    <w:basedOn w:val="BodyText"/>
    <w:rsid w:val="002C0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B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B1C"/>
    <w:rPr>
      <w:sz w:val="32"/>
    </w:rPr>
  </w:style>
  <w:style w:type="paragraph" w:customStyle="1" w:styleId="HeadingProcedure">
    <w:name w:val="Heading Procedure"/>
    <w:basedOn w:val="HeadingBase"/>
    <w:next w:val="Normal"/>
    <w:rsid w:val="002C0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B1C"/>
    <w:pPr>
      <w:spacing w:before="60" w:after="60"/>
    </w:pPr>
  </w:style>
  <w:style w:type="paragraph" w:styleId="ListContinue">
    <w:name w:val="List Continue"/>
    <w:basedOn w:val="List"/>
    <w:rsid w:val="002C0B1C"/>
    <w:pPr>
      <w:ind w:firstLine="0"/>
    </w:pPr>
  </w:style>
  <w:style w:type="paragraph" w:customStyle="1" w:styleId="ListNote">
    <w:name w:val="List Note"/>
    <w:basedOn w:val="List"/>
    <w:rsid w:val="002C0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B1C"/>
    <w:rPr>
      <w:rFonts w:ascii="Courier New" w:hAnsi="Courier New"/>
    </w:rPr>
  </w:style>
  <w:style w:type="paragraph" w:customStyle="1" w:styleId="NoteBullet">
    <w:name w:val="Note Bullet"/>
    <w:basedOn w:val="Note"/>
    <w:rsid w:val="002C0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B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B1C"/>
    <w:rPr>
      <w:b/>
      <w:smallCaps/>
    </w:rPr>
  </w:style>
  <w:style w:type="paragraph" w:customStyle="1" w:styleId="TableListNumber">
    <w:name w:val="Table List Number"/>
    <w:basedOn w:val="ListNumber"/>
    <w:rsid w:val="002C0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B1C"/>
    <w:pPr>
      <w:numPr>
        <w:numId w:val="9"/>
      </w:numPr>
    </w:pPr>
  </w:style>
  <w:style w:type="paragraph" w:customStyle="1" w:styleId="ListAlpha2">
    <w:name w:val="List Alpha 2"/>
    <w:basedOn w:val="List2"/>
    <w:rsid w:val="002C0B1C"/>
    <w:pPr>
      <w:numPr>
        <w:numId w:val="8"/>
      </w:numPr>
    </w:pPr>
  </w:style>
  <w:style w:type="paragraph" w:styleId="List2">
    <w:name w:val="List 2"/>
    <w:basedOn w:val="BodyText"/>
    <w:rsid w:val="002C0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B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B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B1C"/>
    <w:pPr>
      <w:numPr>
        <w:numId w:val="4"/>
      </w:numPr>
    </w:pPr>
  </w:style>
  <w:style w:type="paragraph" w:styleId="ListContinue2">
    <w:name w:val="List Continue 2"/>
    <w:basedOn w:val="List2"/>
    <w:rsid w:val="002C0B1C"/>
    <w:pPr>
      <w:ind w:firstLine="0"/>
    </w:pPr>
  </w:style>
  <w:style w:type="paragraph" w:styleId="ListContinue3">
    <w:name w:val="List Continue 3"/>
    <w:basedOn w:val="List3"/>
    <w:rsid w:val="002C0B1C"/>
    <w:pPr>
      <w:ind w:left="1021" w:firstLine="0"/>
    </w:pPr>
  </w:style>
  <w:style w:type="paragraph" w:styleId="ListContinue4">
    <w:name w:val="List Continue 4"/>
    <w:basedOn w:val="List4"/>
    <w:rsid w:val="002C0B1C"/>
    <w:pPr>
      <w:ind w:firstLine="0"/>
    </w:pPr>
  </w:style>
  <w:style w:type="paragraph" w:styleId="ListContinue5">
    <w:name w:val="List Continue 5"/>
    <w:basedOn w:val="List5"/>
    <w:rsid w:val="002C0B1C"/>
    <w:pPr>
      <w:ind w:firstLine="0"/>
    </w:pPr>
  </w:style>
  <w:style w:type="paragraph" w:styleId="ListNumber3">
    <w:name w:val="List Number 3"/>
    <w:basedOn w:val="List3"/>
    <w:rsid w:val="002C0B1C"/>
    <w:pPr>
      <w:numPr>
        <w:numId w:val="5"/>
      </w:numPr>
    </w:pPr>
  </w:style>
  <w:style w:type="paragraph" w:styleId="ListNumber4">
    <w:name w:val="List Number 4"/>
    <w:basedOn w:val="List4"/>
    <w:rsid w:val="002C0B1C"/>
    <w:pPr>
      <w:numPr>
        <w:numId w:val="6"/>
      </w:numPr>
    </w:pPr>
  </w:style>
  <w:style w:type="paragraph" w:styleId="ListNumber5">
    <w:name w:val="List Number 5"/>
    <w:basedOn w:val="List5"/>
    <w:rsid w:val="002C0B1C"/>
    <w:pPr>
      <w:numPr>
        <w:numId w:val="7"/>
      </w:numPr>
    </w:pPr>
  </w:style>
  <w:style w:type="paragraph" w:styleId="BlockText">
    <w:name w:val="Block Text"/>
    <w:basedOn w:val="Normal"/>
    <w:rsid w:val="002C0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B1C"/>
    <w:rPr>
      <w:sz w:val="16"/>
      <w:vertAlign w:val="superscript"/>
    </w:rPr>
  </w:style>
  <w:style w:type="character" w:customStyle="1" w:styleId="Symbols">
    <w:name w:val="Symbols"/>
    <w:basedOn w:val="DefaultParagraphFont"/>
    <w:rsid w:val="002C0B1C"/>
    <w:rPr>
      <w:rFonts w:ascii="Symbol" w:hAnsi="Symbol"/>
    </w:rPr>
  </w:style>
  <w:style w:type="character" w:customStyle="1" w:styleId="MenuOptions">
    <w:name w:val="Menu Options"/>
    <w:basedOn w:val="DefaultParagraphFont"/>
    <w:rsid w:val="002C0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B1C"/>
    <w:rPr>
      <w:b/>
    </w:rPr>
  </w:style>
  <w:style w:type="character" w:customStyle="1" w:styleId="Underlined">
    <w:name w:val="Underlined"/>
    <w:basedOn w:val="DefaultParagraphFont"/>
    <w:rsid w:val="002C0B1C"/>
    <w:rPr>
      <w:u w:val="single"/>
    </w:rPr>
  </w:style>
  <w:style w:type="paragraph" w:customStyle="1" w:styleId="TableBodyTextRight">
    <w:name w:val="Table Body Text Right"/>
    <w:basedOn w:val="TableBodyText"/>
    <w:rsid w:val="002C0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B1C"/>
    <w:rPr>
      <w:sz w:val="18"/>
    </w:rPr>
  </w:style>
  <w:style w:type="paragraph" w:customStyle="1" w:styleId="BodySmallRight">
    <w:name w:val="Body Small Right"/>
    <w:basedOn w:val="BodyTextRight"/>
    <w:rsid w:val="002C0B1C"/>
    <w:rPr>
      <w:sz w:val="18"/>
      <w:szCs w:val="18"/>
    </w:rPr>
  </w:style>
  <w:style w:type="paragraph" w:customStyle="1" w:styleId="MarginEdition">
    <w:name w:val="Margin Edition"/>
    <w:basedOn w:val="MarginNote"/>
    <w:rsid w:val="002C0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B1C"/>
    <w:rPr>
      <w:sz w:val="2"/>
      <w:szCs w:val="2"/>
    </w:rPr>
  </w:style>
  <w:style w:type="character" w:customStyle="1" w:styleId="Small">
    <w:name w:val="Small"/>
    <w:basedOn w:val="DefaultParagraphFont"/>
    <w:rsid w:val="002C0B1C"/>
    <w:rPr>
      <w:sz w:val="16"/>
    </w:rPr>
  </w:style>
  <w:style w:type="paragraph" w:customStyle="1" w:styleId="WideTable">
    <w:name w:val="Wide Table"/>
    <w:basedOn w:val="Normal"/>
    <w:rsid w:val="002C0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B1C"/>
  </w:style>
  <w:style w:type="paragraph" w:styleId="Quote">
    <w:name w:val="Quote"/>
    <w:basedOn w:val="Heading1"/>
    <w:link w:val="QuoteChar"/>
    <w:qFormat/>
    <w:rsid w:val="002C0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B1C"/>
    <w:pPr>
      <w:pageBreakBefore/>
    </w:pPr>
  </w:style>
  <w:style w:type="paragraph" w:customStyle="1" w:styleId="Border">
    <w:name w:val="Border"/>
    <w:basedOn w:val="Normal"/>
    <w:qFormat/>
    <w:rsid w:val="002C0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B1C"/>
    <w:rPr>
      <w:u w:val="single"/>
    </w:rPr>
  </w:style>
  <w:style w:type="character" w:customStyle="1" w:styleId="BoldandItalics">
    <w:name w:val="Bold and Italics"/>
    <w:qFormat/>
    <w:rsid w:val="002C0B1C"/>
    <w:rPr>
      <w:b/>
      <w:i/>
      <w:u w:val="none"/>
    </w:rPr>
  </w:style>
  <w:style w:type="paragraph" w:styleId="BalloonText">
    <w:name w:val="Balloon Text"/>
    <w:basedOn w:val="Normal"/>
    <w:link w:val="BalloonTextChar"/>
    <w:rsid w:val="002C0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B1C"/>
    <w:pPr>
      <w:spacing w:before="0" w:after="0"/>
    </w:pPr>
  </w:style>
  <w:style w:type="paragraph" w:customStyle="1" w:styleId="BodyTextBold">
    <w:name w:val="Body Text Bold"/>
    <w:basedOn w:val="BodyText"/>
    <w:qFormat/>
    <w:rsid w:val="002C0B1C"/>
    <w:rPr>
      <w:b/>
    </w:rPr>
  </w:style>
  <w:style w:type="character" w:styleId="Hyperlink">
    <w:name w:val="Hyperlink"/>
    <w:basedOn w:val="DefaultParagraphFont"/>
    <w:uiPriority w:val="99"/>
    <w:unhideWhenUsed/>
    <w:rsid w:val="00BF4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3662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MEM08004 Finish work using wet, dry and vapour deposition methods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