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8B5" w:rsidP="006458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MEM07044 Test a new aluminium extrusion die</w:t>
      </w:r>
      <w:r>
        <w:fldChar w:fldCharType="end"/>
      </w:r>
    </w:p>
    <w:p w:rsidR="006458B5" w:rsidP="006458B5">
      <w:pPr>
        <w:pStyle w:val="Version"/>
        <w:sectPr w:rsidSect="002C50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0C9" w:rsidP="002C50C9">
      <w:pPr>
        <w:pStyle w:val="SuperHeading"/>
      </w:pPr>
      <w:r w:rsidRPr="002C50C9">
        <w:t>Assessment Requirements for MEM07044 Test a new aluminium extrusion die</w:t>
      </w:r>
    </w:p>
    <w:p w:rsidR="00000000" w:rsidRPr="002C50C9" w:rsidP="002C50C9">
      <w:pPr>
        <w:pStyle w:val="Heading1"/>
      </w:pPr>
      <w:bookmarkStart w:id="1" w:name="O_954616"/>
      <w:bookmarkEnd w:id="1"/>
      <w:r w:rsidRPr="002C50C9">
        <w:t>Modification History</w:t>
      </w:r>
    </w:p>
    <w:p w:rsidR="00000000" w:rsidRPr="002C50C9" w:rsidP="006458B5">
      <w:pPr>
        <w:pStyle w:val="BodyText"/>
      </w:pPr>
      <w:r w:rsidRPr="002C50C9">
        <w:t xml:space="preserve">Release 1. Supersedes and is equivalent to MEM07044A Test a new aluminium extrusion die </w:t>
      </w:r>
    </w:p>
    <w:p w:rsidR="00000000" w:rsidRPr="002C50C9" w:rsidP="002C50C9">
      <w:pPr>
        <w:pStyle w:val="Heading1"/>
      </w:pPr>
      <w:bookmarkStart w:id="2" w:name="O_954619"/>
      <w:bookmarkEnd w:id="2"/>
      <w:r w:rsidRPr="002C50C9">
        <w:t>Performance Evidence</w:t>
      </w:r>
    </w:p>
    <w:p w:rsidR="00000000" w:rsidRPr="002C50C9" w:rsidP="006458B5">
      <w:pPr>
        <w:pStyle w:val="BodyText"/>
      </w:pPr>
      <w:r w:rsidRPr="002C50C9">
        <w:t>Evidence required to demonstrate competence in this unit must be relevant to and satisfy the requirements of the elements and performance criteria on at least two (2) occasions and include:</w:t>
      </w:r>
    </w:p>
    <w:p w:rsidR="00000000" w:rsidRPr="002C50C9" w:rsidP="002C50C9">
      <w:pPr>
        <w:pStyle w:val="ListBullet"/>
      </w:pPr>
      <w:r w:rsidRPr="002C50C9">
        <w:t>following work instructions, standard operating procedures (SOPs)</w:t>
      </w:r>
      <w:r w:rsidRPr="002C50C9">
        <w:t xml:space="preserve"> and safe work practices </w:t>
      </w:r>
    </w:p>
    <w:p w:rsidR="00000000" w:rsidRPr="002C50C9" w:rsidP="002C50C9">
      <w:pPr>
        <w:pStyle w:val="ListBullet"/>
      </w:pPr>
      <w:r w:rsidRPr="002C50C9">
        <w:t>complying with relevant work health and safety (WHS), regulatory requirements and risk management</w:t>
      </w:r>
    </w:p>
    <w:p w:rsidR="00000000" w:rsidRPr="002C50C9" w:rsidP="002C50C9">
      <w:pPr>
        <w:pStyle w:val="ListBullet"/>
      </w:pPr>
      <w:r w:rsidRPr="002C50C9">
        <w:t>identifying bearings, apertures, and critical measurements and tolerances on die drawing</w:t>
      </w:r>
    </w:p>
    <w:p w:rsidR="00000000" w:rsidRPr="002C50C9" w:rsidP="002C50C9">
      <w:pPr>
        <w:pStyle w:val="ListBullet"/>
      </w:pPr>
      <w:r w:rsidRPr="002C50C9">
        <w:t>supervising and conducting trial extrusions</w:t>
      </w:r>
    </w:p>
    <w:p w:rsidR="00000000" w:rsidRPr="002C50C9" w:rsidP="002C50C9">
      <w:pPr>
        <w:pStyle w:val="ListBullet"/>
      </w:pPr>
      <w:r w:rsidRPr="002C50C9">
        <w:t>using workshop machines and hand tools to finish off a die to design specifications</w:t>
      </w:r>
    </w:p>
    <w:p w:rsidR="00000000" w:rsidRPr="002C50C9" w:rsidP="002C50C9">
      <w:pPr>
        <w:pStyle w:val="ListBullet"/>
      </w:pPr>
      <w:r w:rsidRPr="002C50C9">
        <w:t>identifying cause of extrusion faults from both hollow and solid die extrusions</w:t>
      </w:r>
    </w:p>
    <w:p w:rsidR="00000000" w:rsidRPr="002C50C9" w:rsidP="002C50C9">
      <w:pPr>
        <w:pStyle w:val="ListBullet"/>
      </w:pPr>
      <w:r w:rsidRPr="002C50C9">
        <w:t>identifying appropriate action to take to remedy extrusion faults</w:t>
      </w:r>
    </w:p>
    <w:p w:rsidR="00000000" w:rsidRPr="002C50C9" w:rsidP="002C50C9">
      <w:pPr>
        <w:pStyle w:val="ListBullet"/>
      </w:pPr>
      <w:r w:rsidRPr="002C50C9">
        <w:t>reporting and documenting</w:t>
      </w:r>
      <w:r w:rsidRPr="002C50C9">
        <w:t xml:space="preserve"> results.</w:t>
      </w:r>
    </w:p>
    <w:p w:rsidR="00000000" w:rsidRPr="002C50C9" w:rsidP="002C50C9">
      <w:pPr>
        <w:pStyle w:val="AllowPageBreak"/>
      </w:pPr>
    </w:p>
    <w:p w:rsidR="00000000" w:rsidRPr="002C50C9" w:rsidP="002C50C9">
      <w:pPr>
        <w:pStyle w:val="Heading1"/>
      </w:pPr>
      <w:bookmarkStart w:id="3" w:name="O_954618"/>
      <w:bookmarkEnd w:id="3"/>
      <w:r w:rsidRPr="002C50C9">
        <w:t>Knowledge Evidence</w:t>
      </w:r>
    </w:p>
    <w:p w:rsidR="00000000" w:rsidRPr="002C50C9" w:rsidP="006458B5">
      <w:pPr>
        <w:pStyle w:val="BodyText"/>
      </w:pPr>
      <w:r w:rsidRPr="002C50C9">
        <w:t>Evidence required to demonstrate the required knowledge for this unit must be relevant to and satisfy the requirements of the elements and performance criteria and include knowledge of:</w:t>
      </w:r>
    </w:p>
    <w:p w:rsidR="00000000" w:rsidRPr="002C50C9" w:rsidP="002C50C9">
      <w:pPr>
        <w:pStyle w:val="ListBullet"/>
      </w:pPr>
      <w:r w:rsidRPr="002C50C9">
        <w:t>safe work practices and</w:t>
      </w:r>
      <w:r w:rsidRPr="002C50C9">
        <w:t xml:space="preserve"> procedures and use of personal protective equipment (PPE)</w:t>
      </w:r>
    </w:p>
    <w:p w:rsidR="00000000" w:rsidRPr="002C50C9" w:rsidP="002C50C9">
      <w:pPr>
        <w:pStyle w:val="ListBullet"/>
      </w:pPr>
      <w:r w:rsidRPr="002C50C9">
        <w:t>aluminium extrusion die construction and the extrusion process</w:t>
      </w:r>
    </w:p>
    <w:p w:rsidR="00000000" w:rsidRPr="002C50C9" w:rsidP="002C50C9">
      <w:pPr>
        <w:pStyle w:val="ListBullet"/>
      </w:pPr>
      <w:r w:rsidRPr="002C50C9">
        <w:t>effects of nitriding and re-nitriding on tool performance</w:t>
      </w:r>
    </w:p>
    <w:p w:rsidR="00000000" w:rsidRPr="002C50C9" w:rsidP="002C50C9">
      <w:pPr>
        <w:pStyle w:val="ListBullet"/>
      </w:pPr>
      <w:r w:rsidRPr="002C50C9">
        <w:t>requirements of AS/NZS 1866:1997 Aluminium and aluminium alloys - Extruded r</w:t>
      </w:r>
      <w:r w:rsidRPr="002C50C9">
        <w:t>od, bar, solid and hollow shapes</w:t>
      </w:r>
    </w:p>
    <w:p w:rsidR="00000000" w:rsidRPr="002C50C9" w:rsidP="002C50C9">
      <w:pPr>
        <w:pStyle w:val="ListBullet"/>
      </w:pPr>
      <w:r w:rsidRPr="002C50C9">
        <w:t>techniques for correcting solid and hollow dies</w:t>
      </w:r>
    </w:p>
    <w:p w:rsidR="00000000" w:rsidRPr="002C50C9" w:rsidP="002C50C9">
      <w:pPr>
        <w:pStyle w:val="ListBullet"/>
      </w:pPr>
      <w:r w:rsidRPr="002C50C9">
        <w:t>die support system, including role and types of feeder plates, bakers, bolsters and spacers</w:t>
      </w:r>
    </w:p>
    <w:p w:rsidR="00000000" w:rsidRPr="002C50C9" w:rsidP="002C50C9">
      <w:pPr>
        <w:pStyle w:val="ListBullet"/>
      </w:pPr>
      <w:r w:rsidRPr="002C50C9">
        <w:t>characteristics and use of extruder components, including:</w:t>
      </w:r>
    </w:p>
    <w:p w:rsidR="00000000" w:rsidRPr="002C50C9" w:rsidP="002C50C9">
      <w:pPr>
        <w:pStyle w:val="ListBullet2"/>
      </w:pPr>
      <w:r w:rsidRPr="002C50C9">
        <w:t>container</w:t>
      </w:r>
    </w:p>
    <w:p w:rsidR="00000000" w:rsidRPr="002C50C9" w:rsidP="002C50C9">
      <w:pPr>
        <w:pStyle w:val="ListBullet2"/>
      </w:pPr>
      <w:r w:rsidRPr="002C50C9">
        <w:t>container liner</w:t>
      </w:r>
    </w:p>
    <w:p w:rsidR="00000000" w:rsidRPr="002C50C9" w:rsidP="002C50C9">
      <w:pPr>
        <w:pStyle w:val="ListBullet2"/>
      </w:pPr>
      <w:r w:rsidRPr="002C50C9">
        <w:t>billet</w:t>
      </w:r>
    </w:p>
    <w:p w:rsidR="00000000" w:rsidRPr="002C50C9" w:rsidP="002C50C9">
      <w:pPr>
        <w:pStyle w:val="ListBullet2"/>
      </w:pPr>
      <w:r w:rsidRPr="002C50C9">
        <w:t>die slide</w:t>
      </w:r>
    </w:p>
    <w:p w:rsidR="00000000" w:rsidRPr="002C50C9" w:rsidP="002C50C9">
      <w:pPr>
        <w:pStyle w:val="ListBullet2"/>
      </w:pPr>
      <w:r w:rsidRPr="002C50C9">
        <w:t>pressure rings</w:t>
      </w:r>
    </w:p>
    <w:p w:rsidR="00000000" w:rsidRPr="002C50C9" w:rsidP="002C50C9">
      <w:pPr>
        <w:pStyle w:val="ListBullet2"/>
      </w:pPr>
      <w:r w:rsidRPr="002C50C9">
        <w:t>platen</w:t>
      </w:r>
    </w:p>
    <w:p w:rsidR="00000000" w:rsidRPr="002C50C9" w:rsidP="002C50C9">
      <w:pPr>
        <w:pStyle w:val="ListBullet"/>
      </w:pPr>
      <w:r w:rsidRPr="002C50C9">
        <w:t>characteristics and use of hollow die components, including:</w:t>
      </w:r>
    </w:p>
    <w:p w:rsidR="00000000" w:rsidRPr="002C50C9" w:rsidP="002C50C9">
      <w:pPr>
        <w:pStyle w:val="ListBullet2"/>
      </w:pPr>
      <w:r w:rsidRPr="002C50C9">
        <w:t>weld chamber</w:t>
      </w:r>
    </w:p>
    <w:p w:rsidR="00000000" w:rsidRPr="002C50C9" w:rsidP="002C50C9">
      <w:pPr>
        <w:pStyle w:val="ListBullet2"/>
      </w:pPr>
      <w:r w:rsidRPr="002C50C9">
        <w:t>mandrel</w:t>
      </w:r>
    </w:p>
    <w:p w:rsidR="00000000" w:rsidRPr="002C50C9" w:rsidP="002C50C9">
      <w:pPr>
        <w:pStyle w:val="ListBullet2"/>
      </w:pPr>
      <w:r w:rsidRPr="002C50C9">
        <w:t>die holder</w:t>
      </w:r>
    </w:p>
    <w:p w:rsidR="00000000" w:rsidRPr="002C50C9" w:rsidP="002C50C9">
      <w:pPr>
        <w:pStyle w:val="ListBullet2"/>
      </w:pPr>
      <w:r w:rsidRPr="002C50C9">
        <w:t>weld feeds</w:t>
      </w:r>
    </w:p>
    <w:p w:rsidR="00000000" w:rsidRPr="002C50C9" w:rsidP="002C50C9">
      <w:pPr>
        <w:pStyle w:val="ListBullet2"/>
      </w:pPr>
      <w:r w:rsidRPr="002C50C9">
        <w:t>bridges</w:t>
      </w:r>
    </w:p>
    <w:p w:rsidR="00000000" w:rsidRPr="002C50C9" w:rsidP="002C50C9">
      <w:pPr>
        <w:pStyle w:val="ListBullet2"/>
      </w:pPr>
      <w:r w:rsidRPr="002C50C9">
        <w:t>ports</w:t>
      </w:r>
    </w:p>
    <w:p w:rsidR="00000000" w:rsidRPr="002C50C9" w:rsidP="002C50C9">
      <w:pPr>
        <w:pStyle w:val="ListBullet"/>
      </w:pPr>
      <w:r w:rsidRPr="002C50C9">
        <w:t>die and extruder performance and adjustment records.</w:t>
      </w:r>
    </w:p>
    <w:p w:rsidR="00000000" w:rsidRPr="002C50C9" w:rsidP="002C50C9">
      <w:pPr>
        <w:pStyle w:val="AllowPageBreak"/>
      </w:pPr>
    </w:p>
    <w:p w:rsidR="00000000" w:rsidRPr="002C50C9" w:rsidP="002C50C9">
      <w:pPr>
        <w:pStyle w:val="Heading1"/>
      </w:pPr>
      <w:bookmarkStart w:id="4" w:name="O_954617"/>
      <w:bookmarkEnd w:id="4"/>
      <w:r w:rsidRPr="002C50C9">
        <w:t>Assessment Conditions</w:t>
      </w:r>
    </w:p>
    <w:p w:rsidR="00000000" w:rsidRPr="002C50C9" w:rsidP="002C50C9">
      <w:pPr>
        <w:pStyle w:val="ListBullet"/>
      </w:pPr>
      <w:r w:rsidRPr="002C50C9">
        <w:t>Assessors must:</w:t>
      </w:r>
    </w:p>
    <w:p w:rsidR="00000000" w:rsidRPr="002C50C9" w:rsidP="002C50C9">
      <w:pPr>
        <w:pStyle w:val="ListBullet2"/>
      </w:pPr>
      <w:r w:rsidRPr="002C50C9">
        <w:t>have vocational competency in testing new aluminium extrusion dies at least to the level being assessed with relevant industry knowledge and experience</w:t>
      </w:r>
    </w:p>
    <w:p w:rsidR="00000000" w:rsidRPr="002C50C9" w:rsidP="002C50C9">
      <w:pPr>
        <w:pStyle w:val="ListBullet2"/>
      </w:pPr>
      <w:r w:rsidRPr="002C50C9">
        <w:t xml:space="preserve">satisfy the assessor requirements in the </w:t>
      </w:r>
      <w:r w:rsidRPr="002C50C9">
        <w:rPr>
          <w:rStyle w:val="Emphasis"/>
        </w:rPr>
        <w:t>Standards for Registere</w:t>
      </w:r>
      <w:r w:rsidRPr="002C50C9">
        <w:rPr>
          <w:rStyle w:val="Emphasis"/>
        </w:rPr>
        <w:t xml:space="preserve">d Training Organisations 2015 </w:t>
      </w:r>
      <w:r w:rsidRPr="002C50C9">
        <w:t xml:space="preserve">or its replacement and comply with the </w:t>
      </w:r>
      <w:r w:rsidRPr="002C50C9">
        <w:rPr>
          <w:rStyle w:val="Emphasis"/>
        </w:rPr>
        <w:t xml:space="preserve">National Vocational Education and Training Regulator Act 2011, </w:t>
      </w:r>
      <w:r w:rsidRPr="002C50C9">
        <w:t>its replacement</w:t>
      </w:r>
      <w:r w:rsidRPr="002C50C9">
        <w:rPr>
          <w:rStyle w:val="Emphasis"/>
        </w:rPr>
        <w:t xml:space="preserve"> </w:t>
      </w:r>
      <w:r w:rsidRPr="002C50C9">
        <w:t>or equivalent legislation covering VET regulation in a non-referring state/territory as the case requires</w:t>
      </w:r>
    </w:p>
    <w:p w:rsidR="00000000" w:rsidRPr="002C50C9" w:rsidP="002C50C9">
      <w:pPr>
        <w:pStyle w:val="ListBullet"/>
      </w:pPr>
      <w:r w:rsidRPr="002C50C9">
        <w:t>W</w:t>
      </w:r>
      <w:r w:rsidRPr="002C50C9">
        <w:t xml:space="preserve">here possible assessment must occur in operational workplace situations. Where this is not possible or where personal safety or environmental damage are limiting factors, assessment must occur in a sufficiently rigorous simulated environment that reflects </w:t>
      </w:r>
      <w:r w:rsidRPr="002C50C9">
        <w:t>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2C50C9" w:rsidP="002C50C9">
      <w:pPr>
        <w:pStyle w:val="ListBullet"/>
      </w:pPr>
      <w:r w:rsidRPr="002C50C9">
        <w:t>Conditions for assessment must inclu</w:t>
      </w:r>
      <w:r w:rsidRPr="002C50C9">
        <w:t>de access to all tools, equipment, materials and documentation required, including relevant workplace procedures, product and manufacturing specifications</w:t>
      </w:r>
    </w:p>
    <w:p w:rsidR="00000000" w:rsidRPr="002C50C9" w:rsidP="002C50C9">
      <w:pPr>
        <w:pStyle w:val="ListBullet"/>
      </w:pPr>
      <w:r w:rsidRPr="002C50C9">
        <w:t>Assessment processes and techniques must be appropriate to the language, literacy and numeracy requir</w:t>
      </w:r>
      <w:r w:rsidRPr="002C50C9">
        <w:t>ements of the work being performed and the needs of the candidate.</w:t>
      </w:r>
    </w:p>
    <w:p w:rsidR="00000000" w:rsidRPr="002C50C9" w:rsidP="002C50C9">
      <w:pPr>
        <w:pStyle w:val="AllowPageBreak"/>
      </w:pPr>
    </w:p>
    <w:p w:rsidR="00000000" w:rsidRPr="002C50C9" w:rsidP="002C50C9">
      <w:pPr>
        <w:pStyle w:val="Heading1"/>
      </w:pPr>
      <w:bookmarkStart w:id="5" w:name="O_954615"/>
      <w:bookmarkEnd w:id="5"/>
      <w:r w:rsidRPr="002C50C9">
        <w:t>Links</w:t>
      </w:r>
    </w:p>
    <w:p w:rsidR="00000000" w:rsidRPr="002C50C9" w:rsidP="006458B5">
      <w:pPr>
        <w:pStyle w:val="BodyText"/>
      </w:pPr>
      <w:r w:rsidRPr="002C50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44CB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C50C9" w:rsidP="002C50C9"/>
    <w:sectPr w:rsidSect="002C50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C9" w:rsidRPr="006458B5" w:rsidP="006458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8B5" w:rsidP="002C5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58B5" w:rsidP="002C5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58B5" w:rsidP="002C50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8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0C9" w:rsidRPr="006458B5" w:rsidP="006458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8B5" w:rsidRPr="002D2AF8" w:rsidP="002C5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MEM07044 Test a new aluminium extrusion die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458B5" w:rsidP="002C50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5663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00D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02C5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0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0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0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0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0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0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0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0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0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0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0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0C9"/>
  </w:style>
  <w:style w:type="character" w:customStyle="1" w:styleId="Heading1Char">
    <w:name w:val="Heading 1 Char"/>
    <w:basedOn w:val="DefaultParagraphFont"/>
    <w:link w:val="Heading1"/>
    <w:rsid w:val="002C50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0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0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0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50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50C9"/>
    <w:rPr>
      <w:i/>
    </w:rPr>
  </w:style>
  <w:style w:type="paragraph" w:customStyle="1" w:styleId="SuperHeading">
    <w:name w:val="SuperHeading"/>
    <w:basedOn w:val="Normal"/>
    <w:rsid w:val="002C50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0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0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0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0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0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0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0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0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0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0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0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0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0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0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0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0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0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50C9"/>
    <w:rPr>
      <w:b/>
      <w:spacing w:val="0"/>
    </w:rPr>
  </w:style>
  <w:style w:type="paragraph" w:customStyle="1" w:styleId="SuperTitle">
    <w:name w:val="SuperTitle"/>
    <w:basedOn w:val="Title"/>
    <w:rsid w:val="002C50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0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0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50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0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0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0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0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0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0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0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0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50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0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0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0C9"/>
  </w:style>
  <w:style w:type="paragraph" w:styleId="TableofFigures">
    <w:name w:val="table of figures"/>
    <w:basedOn w:val="Normal"/>
    <w:next w:val="Normal"/>
    <w:semiHidden/>
    <w:rsid w:val="002C50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0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50C9"/>
    <w:rPr>
      <w:rFonts w:ascii="Wingdings" w:hAnsi="Wingdings"/>
    </w:rPr>
  </w:style>
  <w:style w:type="paragraph" w:customStyle="1" w:styleId="TableHeading">
    <w:name w:val="Table Heading"/>
    <w:basedOn w:val="HeadingBase"/>
    <w:rsid w:val="002C50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0C9"/>
    <w:rPr>
      <w:color w:val="0033CC"/>
      <w:u w:val="none"/>
    </w:rPr>
  </w:style>
  <w:style w:type="paragraph" w:customStyle="1" w:styleId="BodyTextRight">
    <w:name w:val="Body Text Right"/>
    <w:basedOn w:val="BodyText"/>
    <w:rsid w:val="002C50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0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0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0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0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0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0C9"/>
    <w:rPr>
      <w:sz w:val="32"/>
    </w:rPr>
  </w:style>
  <w:style w:type="paragraph" w:customStyle="1" w:styleId="HeadingProcedure">
    <w:name w:val="Heading Procedure"/>
    <w:basedOn w:val="HeadingBase"/>
    <w:next w:val="Normal"/>
    <w:rsid w:val="002C50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0C9"/>
    <w:pPr>
      <w:spacing w:before="60" w:after="60"/>
    </w:pPr>
  </w:style>
  <w:style w:type="paragraph" w:styleId="ListContinue">
    <w:name w:val="List Continue"/>
    <w:basedOn w:val="List"/>
    <w:rsid w:val="002C50C9"/>
    <w:pPr>
      <w:ind w:firstLine="0"/>
    </w:pPr>
  </w:style>
  <w:style w:type="paragraph" w:customStyle="1" w:styleId="ListNote">
    <w:name w:val="List Note"/>
    <w:basedOn w:val="List"/>
    <w:rsid w:val="002C50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0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0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0C9"/>
    <w:rPr>
      <w:rFonts w:ascii="Courier New" w:hAnsi="Courier New"/>
    </w:rPr>
  </w:style>
  <w:style w:type="paragraph" w:customStyle="1" w:styleId="NoteBullet">
    <w:name w:val="Note Bullet"/>
    <w:basedOn w:val="Note"/>
    <w:rsid w:val="002C50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0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0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0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0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50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0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0C9"/>
    <w:rPr>
      <w:b/>
      <w:smallCaps/>
    </w:rPr>
  </w:style>
  <w:style w:type="paragraph" w:customStyle="1" w:styleId="TableListNumber">
    <w:name w:val="Table List Number"/>
    <w:basedOn w:val="ListNumber"/>
    <w:rsid w:val="002C50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0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0C9"/>
    <w:pPr>
      <w:numPr>
        <w:numId w:val="9"/>
      </w:numPr>
    </w:pPr>
  </w:style>
  <w:style w:type="paragraph" w:customStyle="1" w:styleId="ListAlpha2">
    <w:name w:val="List Alpha 2"/>
    <w:basedOn w:val="List2"/>
    <w:rsid w:val="002C50C9"/>
    <w:pPr>
      <w:numPr>
        <w:numId w:val="8"/>
      </w:numPr>
    </w:pPr>
  </w:style>
  <w:style w:type="paragraph" w:styleId="List2">
    <w:name w:val="List 2"/>
    <w:basedOn w:val="BodyText"/>
    <w:rsid w:val="002C50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0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0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0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0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0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50C9"/>
    <w:pPr>
      <w:numPr>
        <w:numId w:val="4"/>
      </w:numPr>
    </w:pPr>
  </w:style>
  <w:style w:type="paragraph" w:styleId="ListContinue2">
    <w:name w:val="List Continue 2"/>
    <w:basedOn w:val="List2"/>
    <w:rsid w:val="002C50C9"/>
    <w:pPr>
      <w:ind w:firstLine="0"/>
    </w:pPr>
  </w:style>
  <w:style w:type="paragraph" w:styleId="ListContinue3">
    <w:name w:val="List Continue 3"/>
    <w:basedOn w:val="List3"/>
    <w:rsid w:val="002C50C9"/>
    <w:pPr>
      <w:ind w:left="1021" w:firstLine="0"/>
    </w:pPr>
  </w:style>
  <w:style w:type="paragraph" w:styleId="ListContinue4">
    <w:name w:val="List Continue 4"/>
    <w:basedOn w:val="List4"/>
    <w:rsid w:val="002C50C9"/>
    <w:pPr>
      <w:ind w:firstLine="0"/>
    </w:pPr>
  </w:style>
  <w:style w:type="paragraph" w:styleId="ListContinue5">
    <w:name w:val="List Continue 5"/>
    <w:basedOn w:val="List5"/>
    <w:rsid w:val="002C50C9"/>
    <w:pPr>
      <w:ind w:firstLine="0"/>
    </w:pPr>
  </w:style>
  <w:style w:type="paragraph" w:styleId="ListNumber3">
    <w:name w:val="List Number 3"/>
    <w:basedOn w:val="List3"/>
    <w:rsid w:val="002C50C9"/>
    <w:pPr>
      <w:numPr>
        <w:numId w:val="5"/>
      </w:numPr>
    </w:pPr>
  </w:style>
  <w:style w:type="paragraph" w:styleId="ListNumber4">
    <w:name w:val="List Number 4"/>
    <w:basedOn w:val="List4"/>
    <w:rsid w:val="002C50C9"/>
    <w:pPr>
      <w:numPr>
        <w:numId w:val="6"/>
      </w:numPr>
    </w:pPr>
  </w:style>
  <w:style w:type="paragraph" w:styleId="ListNumber5">
    <w:name w:val="List Number 5"/>
    <w:basedOn w:val="List5"/>
    <w:rsid w:val="002C50C9"/>
    <w:pPr>
      <w:numPr>
        <w:numId w:val="7"/>
      </w:numPr>
    </w:pPr>
  </w:style>
  <w:style w:type="paragraph" w:styleId="BlockText">
    <w:name w:val="Block Text"/>
    <w:basedOn w:val="Normal"/>
    <w:rsid w:val="002C50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0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0C9"/>
    <w:rPr>
      <w:sz w:val="16"/>
      <w:vertAlign w:val="superscript"/>
    </w:rPr>
  </w:style>
  <w:style w:type="character" w:customStyle="1" w:styleId="Symbols">
    <w:name w:val="Symbols"/>
    <w:basedOn w:val="DefaultParagraphFont"/>
    <w:rsid w:val="002C50C9"/>
    <w:rPr>
      <w:rFonts w:ascii="Symbol" w:hAnsi="Symbol"/>
    </w:rPr>
  </w:style>
  <w:style w:type="character" w:customStyle="1" w:styleId="MenuOptions">
    <w:name w:val="Menu Options"/>
    <w:basedOn w:val="DefaultParagraphFont"/>
    <w:rsid w:val="002C50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0C9"/>
    <w:rPr>
      <w:b/>
    </w:rPr>
  </w:style>
  <w:style w:type="character" w:customStyle="1" w:styleId="Underlined">
    <w:name w:val="Underlined"/>
    <w:basedOn w:val="DefaultParagraphFont"/>
    <w:rsid w:val="002C50C9"/>
    <w:rPr>
      <w:u w:val="single"/>
    </w:rPr>
  </w:style>
  <w:style w:type="paragraph" w:customStyle="1" w:styleId="TableBodyTextRight">
    <w:name w:val="Table Body Text Right"/>
    <w:basedOn w:val="TableBodyText"/>
    <w:rsid w:val="002C50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0C9"/>
    <w:rPr>
      <w:sz w:val="18"/>
    </w:rPr>
  </w:style>
  <w:style w:type="paragraph" w:customStyle="1" w:styleId="BodySmallRight">
    <w:name w:val="Body Small Right"/>
    <w:basedOn w:val="BodyTextRight"/>
    <w:rsid w:val="002C50C9"/>
    <w:rPr>
      <w:sz w:val="18"/>
      <w:szCs w:val="18"/>
    </w:rPr>
  </w:style>
  <w:style w:type="paragraph" w:customStyle="1" w:styleId="MarginEdition">
    <w:name w:val="Margin Edition"/>
    <w:basedOn w:val="MarginNote"/>
    <w:rsid w:val="002C50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0C9"/>
    <w:rPr>
      <w:sz w:val="2"/>
      <w:szCs w:val="2"/>
    </w:rPr>
  </w:style>
  <w:style w:type="character" w:customStyle="1" w:styleId="Small">
    <w:name w:val="Small"/>
    <w:basedOn w:val="DefaultParagraphFont"/>
    <w:rsid w:val="002C50C9"/>
    <w:rPr>
      <w:sz w:val="16"/>
    </w:rPr>
  </w:style>
  <w:style w:type="paragraph" w:customStyle="1" w:styleId="WideTable">
    <w:name w:val="Wide Table"/>
    <w:basedOn w:val="Normal"/>
    <w:rsid w:val="002C50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0C9"/>
  </w:style>
  <w:style w:type="paragraph" w:styleId="Quote">
    <w:name w:val="Quote"/>
    <w:basedOn w:val="Heading1"/>
    <w:link w:val="QuoteChar"/>
    <w:qFormat/>
    <w:rsid w:val="002C50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0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0C9"/>
    <w:pPr>
      <w:pageBreakBefore/>
    </w:pPr>
  </w:style>
  <w:style w:type="paragraph" w:customStyle="1" w:styleId="Border">
    <w:name w:val="Border"/>
    <w:basedOn w:val="Normal"/>
    <w:qFormat/>
    <w:rsid w:val="002C50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0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0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0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0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0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0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0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0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0C9"/>
    <w:rPr>
      <w:u w:val="single"/>
    </w:rPr>
  </w:style>
  <w:style w:type="character" w:customStyle="1" w:styleId="BoldandItalics">
    <w:name w:val="Bold and Italics"/>
    <w:qFormat/>
    <w:rsid w:val="002C50C9"/>
    <w:rPr>
      <w:b/>
      <w:i/>
      <w:u w:val="none"/>
    </w:rPr>
  </w:style>
  <w:style w:type="paragraph" w:styleId="BalloonText">
    <w:name w:val="Balloon Text"/>
    <w:basedOn w:val="Normal"/>
    <w:link w:val="BalloonTextChar"/>
    <w:rsid w:val="002C5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0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0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0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0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0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0C9"/>
    <w:pPr>
      <w:spacing w:before="0" w:after="0"/>
    </w:pPr>
  </w:style>
  <w:style w:type="paragraph" w:customStyle="1" w:styleId="BodyTextBold">
    <w:name w:val="Body Text Bold"/>
    <w:basedOn w:val="BodyText"/>
    <w:qFormat/>
    <w:rsid w:val="002C50C9"/>
    <w:rPr>
      <w:b/>
    </w:rPr>
  </w:style>
  <w:style w:type="character" w:styleId="Hyperlink">
    <w:name w:val="Hyperlink"/>
    <w:basedOn w:val="DefaultParagraphFont"/>
    <w:uiPriority w:val="99"/>
    <w:unhideWhenUsed/>
    <w:rsid w:val="006458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3194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MEM07044 Test a new aluminium extrusion die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2023-02-03T06:22:00Z</dcterms:modified>
</cp:coreProperties>
</file>