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22C" w:rsidP="00AB022C">
      <w:pPr>
        <w:pStyle w:val="Title"/>
      </w:pPr>
      <w:r>
        <w:fldChar w:fldCharType="begin"/>
      </w:r>
      <w:r>
        <w:instrText xml:space="preserve"> TITLE   \* MERGEFORMAT </w:instrText>
      </w:r>
      <w:r>
        <w:fldChar w:fldCharType="separate"/>
      </w:r>
      <w:r>
        <w:t>MEM07041 Perform production machining</w:t>
      </w:r>
      <w:r>
        <w:fldChar w:fldCharType="end"/>
      </w:r>
    </w:p>
    <w:p w:rsidR="00AB022C" w:rsidP="00AB022C">
      <w:pPr>
        <w:pStyle w:val="Version"/>
        <w:sectPr w:rsidSect="002E2F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FFD" w:rsidP="002E2FFD">
      <w:pPr>
        <w:pStyle w:val="SuperHeading"/>
      </w:pPr>
      <w:r w:rsidRPr="002E2FFD">
        <w:t>MEM07041 Perform production machining</w:t>
      </w:r>
    </w:p>
    <w:p w:rsidR="00000000" w:rsidRPr="002E2FFD" w:rsidP="002E2FFD">
      <w:pPr>
        <w:pStyle w:val="Heading1"/>
      </w:pPr>
      <w:bookmarkStart w:id="1" w:name="O_954563"/>
      <w:bookmarkEnd w:id="1"/>
      <w:r w:rsidRPr="002E2FFD">
        <w:t>Modification History</w:t>
      </w:r>
    </w:p>
    <w:p w:rsidR="00000000" w:rsidRPr="002E2FFD" w:rsidP="00AB022C">
      <w:pPr>
        <w:pStyle w:val="BodyText"/>
      </w:pPr>
      <w:r w:rsidRPr="002E2FFD">
        <w:t xml:space="preserve">Release 1. Supersedes and is equivalent to MEM07041A Perform production machining </w:t>
      </w:r>
    </w:p>
    <w:p w:rsidR="00000000" w:rsidRPr="002E2FFD" w:rsidP="002E2FFD">
      <w:pPr>
        <w:pStyle w:val="Heading1"/>
      </w:pPr>
      <w:bookmarkStart w:id="2" w:name="O_954571"/>
      <w:bookmarkEnd w:id="2"/>
      <w:r w:rsidRPr="002E2FFD">
        <w:t>Application</w:t>
      </w:r>
    </w:p>
    <w:p w:rsidR="00000000" w:rsidRPr="002E2FFD" w:rsidP="00AB022C">
      <w:pPr>
        <w:pStyle w:val="BodyText"/>
      </w:pPr>
      <w:r w:rsidRPr="002E2FFD">
        <w:t>This unit of competency defines the skills and knowledge required to perform production machining using engineering machine</w:t>
      </w:r>
      <w:r w:rsidRPr="002E2FFD">
        <w:t>ry.</w:t>
      </w:r>
    </w:p>
    <w:p w:rsidR="00000000" w:rsidRPr="002E2FFD" w:rsidP="00AB022C">
      <w:pPr>
        <w:pStyle w:val="BodyText"/>
      </w:pPr>
      <w:r w:rsidRPr="002E2FFD">
        <w:t>Production machining refers to use of workshop machines for volume production of parts or components made of metal or other machinable materials where the machine operator has responsibility for the setting up of the machine, including tooling, grindi</w:t>
      </w:r>
      <w:r w:rsidRPr="002E2FFD">
        <w:t>ng wheels, and other accessories within defined parameters. It does not include one-off jobbing on workshop machines or complex calculations. Tolerances and tool paths will normally have been set in advance.</w:t>
      </w:r>
    </w:p>
    <w:p w:rsidR="00000000" w:rsidRPr="002E2FFD" w:rsidP="00AB022C">
      <w:pPr>
        <w:pStyle w:val="BodyText"/>
      </w:pPr>
      <w:r w:rsidRPr="002E2FFD">
        <w:t>Where trade machining applications are undertak</w:t>
      </w:r>
      <w:r w:rsidRPr="002E2FFD">
        <w:t>en unit MEM07005 Perform general machining should be selected.</w:t>
      </w:r>
    </w:p>
    <w:p w:rsidR="00000000" w:rsidRPr="002E2FFD" w:rsidP="00AB022C">
      <w:pPr>
        <w:pStyle w:val="BodyText"/>
      </w:pPr>
      <w:r w:rsidRPr="002E2FFD">
        <w:t>Where set up and operation of electro-discharge machines (EDM) is required unit MEM07014 Perform electro-discharge machining (EDM) operations should also be selected.</w:t>
      </w:r>
    </w:p>
    <w:p w:rsidR="00000000" w:rsidRPr="002E2FFD" w:rsidP="00AB022C">
      <w:pPr>
        <w:pStyle w:val="BodyText"/>
      </w:pPr>
      <w:r w:rsidRPr="002E2FFD">
        <w:t>Where machining is under</w:t>
      </w:r>
      <w:r w:rsidRPr="002E2FFD">
        <w:t>taken without the need for any set up, including mounting of tools, setting of speeds, feeds and other operational parameters then unit MEM07024 Operate and monitor machine and process and unit MEM07025 Perform advanced machine and process operation, shoul</w:t>
      </w:r>
      <w:r w:rsidRPr="002E2FFD">
        <w:t>d also be selected as appropriate.</w:t>
      </w:r>
    </w:p>
    <w:p w:rsidR="00000000" w:rsidRPr="002E2FFD" w:rsidP="00AB022C">
      <w:pPr>
        <w:pStyle w:val="BodyText"/>
      </w:pPr>
      <w:r w:rsidRPr="002E2FFD">
        <w:t>Where the selection and use of power tools/hand held operations is required unit MEM18002 Use power tools/hand held operations should also be selected.</w:t>
      </w:r>
    </w:p>
    <w:p w:rsidR="00000000" w:rsidRPr="002E2FFD" w:rsidP="00AB022C">
      <w:pPr>
        <w:pStyle w:val="BodyText"/>
      </w:pPr>
      <w:r w:rsidRPr="002E2FFD">
        <w:t>No licensing, legislative or certification requirements apply to th</w:t>
      </w:r>
      <w:r w:rsidRPr="002E2FFD">
        <w:t xml:space="preserve">is unit at the time of publication.  </w:t>
      </w:r>
    </w:p>
    <w:p w:rsidR="00000000" w:rsidRPr="002E2FFD" w:rsidP="002E2FFD">
      <w:pPr>
        <w:pStyle w:val="BodyText"/>
      </w:pPr>
      <w:r w:rsidRPr="002E2FFD">
        <w:rPr>
          <w:rStyle w:val="SpecialBold"/>
        </w:rPr>
        <w:t>Band:</w:t>
      </w:r>
      <w:r w:rsidRPr="002E2FFD">
        <w:rPr>
          <w:rStyle w:val="SpecialBold"/>
        </w:rPr>
        <w:tab/>
        <w:t>A</w:t>
      </w:r>
    </w:p>
    <w:p w:rsidR="00000000" w:rsidRPr="002E2FFD" w:rsidP="002E2FFD">
      <w:pPr>
        <w:pStyle w:val="BodyText"/>
      </w:pPr>
      <w:r w:rsidRPr="002E2FFD">
        <w:rPr>
          <w:rStyle w:val="SpecialBold"/>
        </w:rPr>
        <w:t>Unit Weight:</w:t>
      </w:r>
      <w:r w:rsidRPr="002E2FFD">
        <w:rPr>
          <w:rStyle w:val="SpecialBold"/>
        </w:rPr>
        <w:tab/>
        <w:t>8</w:t>
      </w:r>
    </w:p>
    <w:p w:rsidR="00000000" w:rsidRPr="002E2FFD" w:rsidP="002E2FFD">
      <w:pPr>
        <w:pStyle w:val="AllowPageBreak"/>
      </w:pPr>
    </w:p>
    <w:p w:rsidR="00000000" w:rsidRPr="002E2FFD" w:rsidP="002E2FFD">
      <w:pPr>
        <w:pStyle w:val="Heading1"/>
      </w:pPr>
      <w:bookmarkStart w:id="3" w:name="O_954570"/>
      <w:bookmarkEnd w:id="3"/>
      <w:r w:rsidRPr="002E2FFD">
        <w:t>Pre-requisite Unit</w:t>
      </w:r>
    </w:p>
    <w:tbl>
      <w:tblPr>
        <w:tblW w:w="0" w:type="auto"/>
        <w:tblLayout w:type="fixed"/>
        <w:tblCellMar>
          <w:left w:w="62" w:type="dxa"/>
          <w:right w:w="62" w:type="dxa"/>
        </w:tblCellMar>
        <w:tblLook w:val="0000"/>
      </w:tblPr>
      <w:tblGrid>
        <w:gridCol w:w="2186"/>
        <w:gridCol w:w="6886"/>
      </w:tblGrid>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MEM09002</w:t>
            </w:r>
          </w:p>
        </w:tc>
        <w:tc>
          <w:tcPr>
            <w:tcW w:w="68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Interpret technical drawing</w:t>
            </w:r>
          </w:p>
        </w:tc>
      </w:tr>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MEM11011</w:t>
            </w:r>
          </w:p>
        </w:tc>
        <w:tc>
          <w:tcPr>
            <w:tcW w:w="68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Undertake manual handling</w:t>
            </w:r>
          </w:p>
        </w:tc>
      </w:tr>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MEM12023</w:t>
            </w:r>
          </w:p>
        </w:tc>
        <w:tc>
          <w:tcPr>
            <w:tcW w:w="68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 xml:space="preserve">Perform engineering measurements </w:t>
            </w:r>
          </w:p>
        </w:tc>
      </w:tr>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MEM13015</w:t>
            </w:r>
          </w:p>
        </w:tc>
        <w:tc>
          <w:tcPr>
            <w:tcW w:w="68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Work safely and effectively in manufacturing and engineering</w:t>
            </w:r>
          </w:p>
        </w:tc>
      </w:tr>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MEM16006</w:t>
            </w:r>
          </w:p>
        </w:tc>
        <w:tc>
          <w:tcPr>
            <w:tcW w:w="68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Organise and communicate information</w:t>
            </w:r>
          </w:p>
        </w:tc>
      </w:tr>
      <w:tr w:rsidTr="002E2FF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MEM18001</w:t>
            </w:r>
          </w:p>
        </w:tc>
        <w:tc>
          <w:tcPr>
            <w:tcW w:w="68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Use hand tools</w:t>
            </w:r>
          </w:p>
        </w:tc>
      </w:tr>
    </w:tbl>
    <w:p w:rsidR="00000000" w:rsidRPr="002E2FFD" w:rsidP="002E2FFD">
      <w:pPr>
        <w:pStyle w:val="BodyText"/>
      </w:pPr>
    </w:p>
    <w:p w:rsidR="00000000" w:rsidRPr="002E2FFD" w:rsidP="002E2FFD">
      <w:pPr>
        <w:pStyle w:val="AllowPageBreak"/>
      </w:pPr>
    </w:p>
    <w:p w:rsidR="00000000" w:rsidRPr="002E2FFD" w:rsidP="002E2FFD">
      <w:pPr>
        <w:pStyle w:val="Heading1"/>
      </w:pPr>
      <w:bookmarkStart w:id="4" w:name="O_954569"/>
      <w:bookmarkEnd w:id="4"/>
      <w:r w:rsidRPr="002E2FFD">
        <w:t>Competency Field</w:t>
      </w:r>
    </w:p>
    <w:p w:rsidR="00000000" w:rsidRPr="002E2FFD" w:rsidP="00AB022C">
      <w:pPr>
        <w:pStyle w:val="BodyText"/>
      </w:pPr>
      <w:r w:rsidRPr="002E2FFD">
        <w:t>Machine and process operations</w:t>
      </w:r>
    </w:p>
    <w:p w:rsidR="00000000" w:rsidRPr="002E2FFD" w:rsidP="002E2FFD">
      <w:pPr>
        <w:pStyle w:val="Heading1"/>
      </w:pPr>
      <w:bookmarkStart w:id="5" w:name="O_954567"/>
      <w:bookmarkEnd w:id="5"/>
      <w:r w:rsidRPr="002E2FF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E2FF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Eleme</w:t>
            </w:r>
            <w:r w:rsidRPr="002E2FFD">
              <w:t>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Performance criteria describe the performance needed to demonstrate achievement of the element.</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1</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1.1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Follow standard operating procedures (SOPs)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1.2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Comply with work health</w:t>
            </w:r>
            <w:r w:rsidRPr="002E2FFD">
              <w:t xml:space="preserve"> and safety (WHS) requirements at all times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1.3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Use appropriate personal protective equipment (PPE) in accordance with SOPs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1.4</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Identify job requirements from specifications, drawings, job sheets or work instructions</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2</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Follow required sequence of operations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2.1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Confirm number of items to be produced</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2.2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Plan the operation for required run rate, efficiency and minimisation of waste</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2.3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Select correct material for operation from pre-determined stock range</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2.4</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Establish starting point on stock for operation</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2.5</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 xml:space="preserve">Maintain process and quality logs </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3</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Select and mount tools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3.1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Select appropriate tooling from pre-selected range</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3.2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Select appropriate stock and grind to required tool shape using pre-set jigs and fixtures to achieve pre-determined angles and clearances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3.3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Monitor tooling and sharpen tools and drills to pre-determined specifications, as required</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4</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Perform production machining operations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4.1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Use basic marking out techniques to pre-determined specifications on stock or components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4.2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Set machining parameters for job requirements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4.3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Monitor tool or cutter performance life</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4.4</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Clamp or hold work without damage to product and ensuring all safety requirements are met</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4.5</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Perform machining utilising all guards and safety procedures</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5</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Perform production grinding operations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Select appropriate grinding wheel for required operation from pre-selected options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Mount and tighten grinding wheels to required sequence and specification</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Dress and true grinding wheel using given range of dressing tools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5.4</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Check grinding wheel for balance and safety</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5.5</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Adjust coolant flow and position</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5.6</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Undertake grinding operation utilising all guards and safety procedures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5.7</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Monitor grinding wheel performance and life according to SOP</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6</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Measure components</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6.1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Select instruments or gauges appropriate to the measurement requirements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6.2</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Check machined or ground items for compliance with specifications</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6.3</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Identify out-of-specification items and check if settings or tooling</w:t>
            </w:r>
            <w:r w:rsidRPr="002E2FFD">
              <w:t xml:space="preserve"> require adjustment</w:t>
            </w:r>
          </w:p>
        </w:tc>
      </w:tr>
      <w:tr w:rsidTr="002E2F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E2FFD">
            <w:pPr>
              <w:pStyle w:val="BodyText"/>
              <w:rPr>
                <w:lang w:val="en-NZ"/>
              </w:rPr>
            </w:pP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7</w:t>
            </w:r>
          </w:p>
        </w:tc>
        <w:tc>
          <w:tcPr>
            <w:tcW w:w="1986" w:type="dxa"/>
            <w:vMerge w:val="restart"/>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Adjust and maintain machine</w:t>
            </w: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7.1</w:t>
            </w:r>
          </w:p>
        </w:tc>
        <w:tc>
          <w:tcPr>
            <w:tcW w:w="5678"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Carry out routine maintenance and adjustments, as required</w:t>
            </w:r>
          </w:p>
        </w:tc>
      </w:tr>
      <w:tr w:rsidTr="002E2F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7.2</w:t>
            </w:r>
          </w:p>
        </w:tc>
        <w:tc>
          <w:tcPr>
            <w:tcW w:w="5678" w:type="dxa"/>
            <w:tcBorders>
              <w:top w:val="nil"/>
              <w:left w:val="nil"/>
              <w:bottom w:val="nil"/>
              <w:right w:val="nil"/>
            </w:tcBorders>
            <w:tcMar>
              <w:top w:w="0" w:type="dxa"/>
              <w:left w:w="62" w:type="dxa"/>
              <w:bottom w:w="0" w:type="dxa"/>
              <w:right w:w="62" w:type="dxa"/>
            </w:tcMar>
          </w:tcPr>
          <w:p w:rsidR="00000000" w:rsidRPr="002E2FFD" w:rsidP="002E2FFD">
            <w:pPr>
              <w:pStyle w:val="BodyText"/>
            </w:pPr>
            <w:r w:rsidRPr="002E2FFD">
              <w:t>Report and log malfunctions according to enterprise procedures</w:t>
            </w:r>
          </w:p>
        </w:tc>
      </w:tr>
    </w:tbl>
    <w:p w:rsidR="00000000" w:rsidRPr="002E2FFD" w:rsidP="002E2FFD">
      <w:pPr>
        <w:pStyle w:val="BodyText"/>
      </w:pPr>
    </w:p>
    <w:p w:rsidR="00000000" w:rsidRPr="002E2FFD" w:rsidP="002E2FFD">
      <w:pPr>
        <w:pStyle w:val="AllowPageBreak"/>
      </w:pPr>
    </w:p>
    <w:p w:rsidR="00000000" w:rsidRPr="002E2FFD" w:rsidP="002E2FFD">
      <w:pPr>
        <w:pStyle w:val="Heading1"/>
      </w:pPr>
      <w:bookmarkStart w:id="6" w:name="O_954566"/>
      <w:bookmarkEnd w:id="6"/>
      <w:r w:rsidRPr="002E2FFD">
        <w:t>Foundation Skills</w:t>
      </w:r>
    </w:p>
    <w:p w:rsidR="00000000" w:rsidRPr="002E2FFD" w:rsidP="00AB022C">
      <w:pPr>
        <w:pStyle w:val="BodyText"/>
      </w:pPr>
      <w:r w:rsidRPr="002E2FFD">
        <w:t xml:space="preserve">This section describes those required skills (reading, writing, oral communication and numeracy) that are essential to workplace performance in this unit of competency.  </w:t>
      </w:r>
    </w:p>
    <w:p w:rsidR="00000000" w:rsidRPr="002E2FFD" w:rsidP="00AB022C">
      <w:pPr>
        <w:pStyle w:val="BodyText"/>
      </w:pPr>
      <w:r w:rsidRPr="002E2FFD">
        <w:t xml:space="preserve">Foundation skills essential to performance are explicit in the performance criteria </w:t>
      </w:r>
      <w:r w:rsidRPr="002E2FFD">
        <w:t>of this unit of competency.</w:t>
      </w:r>
    </w:p>
    <w:p w:rsidR="00000000" w:rsidRPr="002E2FFD" w:rsidP="002E2FFD">
      <w:pPr>
        <w:pStyle w:val="Heading1"/>
      </w:pPr>
      <w:bookmarkStart w:id="7" w:name="O_954565"/>
      <w:bookmarkEnd w:id="7"/>
      <w:r w:rsidRPr="002E2FFD">
        <w:t>Range of Conditions</w:t>
      </w:r>
    </w:p>
    <w:tbl>
      <w:tblPr>
        <w:tblW w:w="9286" w:type="dxa"/>
        <w:tblLayout w:type="fixed"/>
        <w:tblCellMar>
          <w:left w:w="62" w:type="dxa"/>
          <w:right w:w="62" w:type="dxa"/>
        </w:tblCellMar>
        <w:tblLook w:val="0000"/>
      </w:tblPr>
      <w:tblGrid>
        <w:gridCol w:w="2732"/>
        <w:gridCol w:w="6554"/>
      </w:tblGrid>
      <w:tr w:rsidTr="002E2FFD">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t>This field allows for different work environments and conditions that may affect performance. Essential operating conditions that may be present (depending on the work situation, accessibilit</w:t>
            </w:r>
            <w:r w:rsidRPr="002E2FFD">
              <w:t>y of the item, and local industry and regional contexts) are included.</w:t>
            </w: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Operations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parallel cutting</w:t>
            </w:r>
          </w:p>
          <w:p w:rsidR="00000000" w:rsidRPr="002E2FFD" w:rsidP="002E2FFD">
            <w:pPr>
              <w:pStyle w:val="ListBullet"/>
            </w:pPr>
            <w:r w:rsidRPr="002E2FFD">
              <w:t>slotting</w:t>
            </w:r>
          </w:p>
          <w:p w:rsidR="00000000" w:rsidRPr="002E2FFD" w:rsidP="002E2FFD">
            <w:pPr>
              <w:pStyle w:val="ListBullet"/>
            </w:pPr>
            <w:r w:rsidRPr="002E2FFD">
              <w:t>drilling</w:t>
            </w:r>
          </w:p>
          <w:p w:rsidR="00000000" w:rsidRPr="002E2FFD" w:rsidP="002E2FFD">
            <w:pPr>
              <w:pStyle w:val="ListBullet"/>
            </w:pPr>
            <w:r w:rsidRPr="002E2FFD">
              <w:t>knurling</w:t>
            </w:r>
          </w:p>
          <w:p w:rsidR="00000000" w:rsidRPr="002E2FFD" w:rsidP="002E2FFD">
            <w:pPr>
              <w:pStyle w:val="ListBullet"/>
            </w:pPr>
            <w:r w:rsidRPr="002E2FFD">
              <w:t>cutting flats</w:t>
            </w:r>
          </w:p>
          <w:p w:rsidR="00000000" w:rsidRPr="002E2FFD" w:rsidP="002E2FFD">
            <w:pPr>
              <w:pStyle w:val="ListBullet"/>
            </w:pPr>
            <w:r w:rsidRPr="002E2FFD">
              <w:t>centred and centreless grinding operations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Materials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 xml:space="preserve">ferrous </w:t>
            </w:r>
          </w:p>
          <w:p w:rsidR="00000000" w:rsidRPr="002E2FFD" w:rsidP="002E2FFD">
            <w:pPr>
              <w:pStyle w:val="ListBullet"/>
            </w:pPr>
            <w:r w:rsidRPr="002E2FFD">
              <w:t xml:space="preserve">non-ferrous metals </w:t>
            </w:r>
          </w:p>
          <w:p w:rsidR="00000000" w:rsidRPr="002E2FFD" w:rsidP="002E2FFD">
            <w:pPr>
              <w:pStyle w:val="ListBullet"/>
            </w:pPr>
            <w:r w:rsidRPr="002E2FFD">
              <w:t>other machinable materials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Tooling includes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carbide</w:t>
            </w:r>
          </w:p>
          <w:p w:rsidR="00000000" w:rsidRPr="002E2FFD" w:rsidP="002E2FFD">
            <w:pPr>
              <w:pStyle w:val="ListBullet"/>
            </w:pPr>
            <w:r w:rsidRPr="002E2FFD">
              <w:t xml:space="preserve">ceramic and high speed steel machine tooling </w:t>
            </w:r>
          </w:p>
          <w:p w:rsidR="00000000" w:rsidRPr="002E2FFD" w:rsidP="002E2FFD">
            <w:pPr>
              <w:pStyle w:val="ListBullet"/>
            </w:pPr>
            <w:r w:rsidRPr="002E2FFD">
              <w:t xml:space="preserve">cutting tool accessories </w:t>
            </w:r>
          </w:p>
          <w:p w:rsidR="00000000" w:rsidRPr="002E2FFD" w:rsidP="002E2FFD">
            <w:pPr>
              <w:pStyle w:val="ListBullet"/>
            </w:pPr>
            <w:r w:rsidRPr="002E2FFD">
              <w:t>holding devices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1447"/>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Measuring devices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rulers</w:t>
            </w:r>
          </w:p>
          <w:p w:rsidR="00000000" w:rsidRPr="002E2FFD" w:rsidP="002E2FFD">
            <w:pPr>
              <w:pStyle w:val="ListBullet"/>
            </w:pPr>
            <w:r w:rsidRPr="002E2FFD">
              <w:t>gauges</w:t>
            </w:r>
          </w:p>
          <w:p w:rsidR="00000000" w:rsidP="002E2FFD">
            <w:pPr>
              <w:pStyle w:val="ListBullet"/>
              <w:rPr>
                <w:lang w:val="en-NZ"/>
              </w:rPr>
            </w:pPr>
            <w:r w:rsidRPr="002E2FFD">
              <w:t>verniers and micrometres (digital or analogue)</w:t>
            </w: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Basic marking out techniques include using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calipers</w:t>
            </w:r>
          </w:p>
          <w:p w:rsidR="00000000" w:rsidRPr="002E2FFD" w:rsidP="002E2FFD">
            <w:pPr>
              <w:pStyle w:val="ListBullet"/>
            </w:pPr>
            <w:r w:rsidRPr="002E2FFD">
              <w:t>steel rules</w:t>
            </w:r>
          </w:p>
          <w:p w:rsidR="00000000" w:rsidRPr="002E2FFD" w:rsidP="002E2FFD">
            <w:pPr>
              <w:pStyle w:val="ListBullet"/>
            </w:pPr>
            <w:r w:rsidRPr="002E2FFD">
              <w:t>dividers and scribers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Machining parameters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speeds</w:t>
            </w:r>
          </w:p>
          <w:p w:rsidR="00000000" w:rsidRPr="002E2FFD" w:rsidP="002E2FFD">
            <w:pPr>
              <w:pStyle w:val="ListBullet"/>
            </w:pPr>
            <w:r w:rsidRPr="002E2FFD">
              <w:t>feeds</w:t>
            </w:r>
          </w:p>
          <w:p w:rsidR="00000000" w:rsidRPr="002E2FFD" w:rsidP="002E2FFD">
            <w:pPr>
              <w:pStyle w:val="ListBullet"/>
            </w:pPr>
            <w:r w:rsidRPr="002E2FFD">
              <w:t>stops</w:t>
            </w:r>
          </w:p>
          <w:p w:rsidR="00000000" w:rsidRPr="002E2FFD" w:rsidP="002E2FFD">
            <w:pPr>
              <w:pStyle w:val="ListBullet"/>
            </w:pPr>
            <w:r w:rsidRPr="002E2FFD">
              <w:t>coolant and cutting lubricants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Machines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lathes</w:t>
            </w:r>
          </w:p>
          <w:p w:rsidR="00000000" w:rsidRPr="002E2FFD" w:rsidP="002E2FFD">
            <w:pPr>
              <w:pStyle w:val="ListBullet"/>
            </w:pPr>
            <w:r w:rsidRPr="002E2FFD">
              <w:t>mills</w:t>
            </w:r>
          </w:p>
          <w:p w:rsidR="00000000" w:rsidRPr="002E2FFD" w:rsidP="002E2FFD">
            <w:pPr>
              <w:pStyle w:val="ListBullet"/>
            </w:pPr>
            <w:r w:rsidRPr="002E2FFD">
              <w:t>planers</w:t>
            </w:r>
          </w:p>
          <w:p w:rsidR="00000000" w:rsidRPr="002E2FFD" w:rsidP="002E2FFD">
            <w:pPr>
              <w:pStyle w:val="ListBullet"/>
            </w:pPr>
            <w:r w:rsidRPr="002E2FFD">
              <w:t>shapers</w:t>
            </w:r>
          </w:p>
          <w:p w:rsidR="00000000" w:rsidRPr="002E2FFD" w:rsidP="002E2FFD">
            <w:pPr>
              <w:pStyle w:val="ListBullet"/>
            </w:pPr>
            <w:r w:rsidRPr="002E2FFD">
              <w:t>radial and pedestal drills</w:t>
            </w:r>
          </w:p>
          <w:p w:rsidR="00000000" w:rsidRPr="002E2FFD" w:rsidP="002E2FFD">
            <w:pPr>
              <w:pStyle w:val="ListBullet"/>
            </w:pPr>
            <w:r w:rsidRPr="002E2FFD">
              <w:t>slotters</w:t>
            </w:r>
          </w:p>
          <w:p w:rsidR="00000000" w:rsidRPr="002E2FFD" w:rsidP="002E2FFD">
            <w:pPr>
              <w:pStyle w:val="ListBullet"/>
            </w:pPr>
            <w:r w:rsidRPr="002E2FFD">
              <w:t>grinders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Maintenance and adjustments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slide and collar adjustment</w:t>
            </w:r>
          </w:p>
          <w:p w:rsidR="00000000" w:rsidRPr="002E2FFD" w:rsidP="002E2FFD">
            <w:pPr>
              <w:pStyle w:val="ListBullet"/>
            </w:pPr>
            <w:r w:rsidRPr="002E2FFD">
              <w:t>cleaning and lubrication</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Types and features of industrial grinding wheels include one (1) or more of the following:</w:t>
            </w:r>
            <w:r w:rsidRPr="002E2FFD">
              <w:t xml:space="preserve">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wheel make-up</w:t>
            </w:r>
          </w:p>
          <w:p w:rsidR="00000000" w:rsidRPr="002E2FFD" w:rsidP="002E2FFD">
            <w:pPr>
              <w:pStyle w:val="ListBullet"/>
            </w:pPr>
            <w:r w:rsidRPr="002E2FFD">
              <w:t>wh</w:t>
            </w:r>
            <w:r w:rsidRPr="002E2FFD">
              <w:t>eel hubs</w:t>
            </w:r>
          </w:p>
          <w:p w:rsidR="00000000" w:rsidRPr="002E2FFD" w:rsidP="002E2FFD">
            <w:pPr>
              <w:pStyle w:val="ListBullet"/>
            </w:pPr>
            <w:r w:rsidRPr="002E2FFD">
              <w:t>wheel classification</w:t>
            </w:r>
          </w:p>
          <w:p w:rsidR="00000000" w:rsidRPr="002E2FFD" w:rsidP="002E2FFD">
            <w:pPr>
              <w:pStyle w:val="ListBullet"/>
            </w:pPr>
            <w:r w:rsidRPr="002E2FFD">
              <w:t>types of grits and bonds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Dressing tools include one (1) or more of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industrial diamond</w:t>
            </w:r>
          </w:p>
          <w:p w:rsidR="00000000" w:rsidRPr="002E2FFD" w:rsidP="002E2FFD">
            <w:pPr>
              <w:pStyle w:val="ListBullet"/>
            </w:pPr>
            <w:r w:rsidRPr="002E2FFD">
              <w:t>dressing wheels</w:t>
            </w:r>
          </w:p>
          <w:p w:rsidR="00000000" w:rsidRPr="002E2FFD" w:rsidP="002E2FFD">
            <w:pPr>
              <w:pStyle w:val="ListBullet"/>
            </w:pPr>
            <w:r w:rsidRPr="002E2FFD">
              <w:t>dressing sticks</w:t>
            </w:r>
          </w:p>
          <w:p w:rsidR="00000000" w:rsidP="002E2FFD">
            <w:pPr>
              <w:pStyle w:val="BodyText"/>
              <w:rPr>
                <w:lang w:val="en-NZ"/>
              </w:rPr>
            </w:pPr>
          </w:p>
        </w:tc>
      </w:tr>
      <w:tr w:rsidTr="002E2FF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2E2FFD">
            <w:pPr>
              <w:pStyle w:val="BodyText"/>
              <w:rPr>
                <w:lang w:val="en-NZ"/>
              </w:rPr>
            </w:pPr>
            <w:r w:rsidRPr="002E2FFD">
              <w:rPr>
                <w:rStyle w:val="SpecialBold"/>
              </w:rPr>
              <w:t>Balancing of grinding wheels includes the following:</w:t>
            </w:r>
            <w:r w:rsidRPr="002E2FFD">
              <w:t> </w:t>
            </w:r>
          </w:p>
        </w:tc>
        <w:tc>
          <w:tcPr>
            <w:tcW w:w="6554" w:type="dxa"/>
            <w:tcBorders>
              <w:top w:val="nil"/>
              <w:left w:val="nil"/>
              <w:bottom w:val="nil"/>
              <w:right w:val="nil"/>
            </w:tcBorders>
            <w:tcMar>
              <w:top w:w="0" w:type="dxa"/>
              <w:left w:w="62" w:type="dxa"/>
              <w:bottom w:w="0" w:type="dxa"/>
              <w:right w:w="62" w:type="dxa"/>
            </w:tcMar>
          </w:tcPr>
          <w:p w:rsidR="00000000" w:rsidRPr="002E2FFD" w:rsidP="002E2FFD">
            <w:pPr>
              <w:pStyle w:val="ListBullet"/>
            </w:pPr>
            <w:r w:rsidRPr="002E2FFD">
              <w:t xml:space="preserve">checks and identification for balance only </w:t>
            </w:r>
          </w:p>
        </w:tc>
      </w:tr>
    </w:tbl>
    <w:p w:rsidR="00000000" w:rsidRPr="002E2FFD" w:rsidP="002E2FFD">
      <w:pPr>
        <w:pStyle w:val="BodyText"/>
      </w:pPr>
    </w:p>
    <w:p w:rsidR="00000000" w:rsidRPr="002E2FFD" w:rsidP="002E2FFD">
      <w:pPr>
        <w:pStyle w:val="AllowPageBreak"/>
      </w:pPr>
    </w:p>
    <w:p w:rsidR="00000000" w:rsidRPr="002E2FFD" w:rsidP="002E2FFD">
      <w:pPr>
        <w:pStyle w:val="Heading1"/>
      </w:pPr>
      <w:bookmarkStart w:id="8" w:name="O_954564"/>
      <w:bookmarkEnd w:id="8"/>
      <w:r w:rsidRPr="002E2FFD">
        <w:t>Unit Mapping Information</w:t>
      </w:r>
    </w:p>
    <w:p w:rsidR="00000000" w:rsidRPr="002E2FFD" w:rsidP="00AB022C">
      <w:pPr>
        <w:pStyle w:val="BodyText"/>
      </w:pPr>
      <w:r w:rsidRPr="002E2FFD">
        <w:t xml:space="preserve">Release 1. Supersedes and is equivalent to MEM07041A Perform production machining </w:t>
      </w:r>
    </w:p>
    <w:p w:rsidR="00000000" w:rsidRPr="002E2FFD" w:rsidP="002E2FFD">
      <w:pPr>
        <w:pStyle w:val="Heading1"/>
      </w:pPr>
      <w:bookmarkStart w:id="9" w:name="O_954557"/>
      <w:bookmarkEnd w:id="9"/>
      <w:r w:rsidRPr="002E2FFD">
        <w:t>Links</w:t>
      </w:r>
    </w:p>
    <w:p w:rsidR="00000000" w:rsidRPr="002E2FFD" w:rsidP="00AB022C">
      <w:pPr>
        <w:pStyle w:val="BodyText"/>
      </w:pPr>
      <w:r w:rsidRPr="002E2FFD">
        <w:t>Companion Volume implementation guides are fou</w:t>
      </w:r>
      <w:r w:rsidRPr="002E2FFD">
        <w:t xml:space="preserve">nd in VETNet - </w:t>
      </w:r>
      <w:r>
        <w:fldChar w:fldCharType="begin"/>
      </w:r>
      <w:r>
        <w:instrText xml:space="preserve"> HYPERLINK "https://vetnet.gov.au/Pages/TrainingDocs.aspx?q=b7050d37-5fd0-4740-8f7d-3b7a49c10bb2" </w:instrText>
      </w:r>
      <w:r>
        <w:fldChar w:fldCharType="separate"/>
      </w:r>
      <w:r w:rsidRPr="0050143B">
        <w:rPr>
          <w:rStyle w:val="Hyperlink"/>
        </w:rPr>
        <w:t>https://vetnet.gov.au/Pages/TrainingDocs.aspx?q=b7050d37-5fd0-4740-8f7d-3b7a49c10bb2</w:t>
      </w:r>
      <w:r>
        <w:fldChar w:fldCharType="end"/>
      </w:r>
    </w:p>
    <w:p w:rsidR="00000000" w:rsidRPr="002E2FFD" w:rsidP="002E2FFD"/>
    <w:sectPr w:rsidSect="002E2F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FD" w:rsidRPr="00AB022C" w:rsidP="00AB0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2C" w:rsidP="002E2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022C" w:rsidP="002E2F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022C" w:rsidP="002E2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FFD" w:rsidRPr="00AB022C" w:rsidP="00AB0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22C" w:rsidRPr="002D2AF8" w:rsidP="002E2FFD">
    <w:pPr>
      <w:pStyle w:val="Header"/>
      <w:framePr w:wrap="around"/>
    </w:pPr>
    <w:r>
      <w:fldChar w:fldCharType="begin"/>
    </w:r>
    <w:r>
      <w:instrText xml:space="preserve"> TITLE   \* MERGEFORMAT </w:instrText>
    </w:r>
    <w:r>
      <w:fldChar w:fldCharType="separate"/>
    </w:r>
    <w:r>
      <w:t>MEM07041 Perform production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B022C" w:rsidP="002E2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347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B05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FFD"/>
    <w:pPr>
      <w:spacing w:before="360" w:after="60"/>
      <w:outlineLvl w:val="0"/>
    </w:pPr>
    <w:rPr>
      <w:sz w:val="32"/>
    </w:rPr>
  </w:style>
  <w:style w:type="paragraph" w:styleId="Heading2">
    <w:name w:val="heading 2"/>
    <w:basedOn w:val="HeadingBase"/>
    <w:next w:val="BodyText"/>
    <w:link w:val="Heading2Char"/>
    <w:qFormat/>
    <w:rsid w:val="002E2FFD"/>
    <w:pPr>
      <w:keepLines/>
      <w:spacing w:before="240" w:after="120"/>
      <w:outlineLvl w:val="1"/>
    </w:pPr>
    <w:rPr>
      <w:sz w:val="28"/>
      <w:szCs w:val="40"/>
    </w:rPr>
  </w:style>
  <w:style w:type="paragraph" w:styleId="Heading3">
    <w:name w:val="heading 3"/>
    <w:basedOn w:val="HeadingBase"/>
    <w:next w:val="BodyText"/>
    <w:link w:val="Heading3Char"/>
    <w:qFormat/>
    <w:rsid w:val="002E2FFD"/>
    <w:pPr>
      <w:spacing w:before="180" w:after="120"/>
      <w:outlineLvl w:val="2"/>
    </w:pPr>
    <w:rPr>
      <w:spacing w:val="-10"/>
      <w:kern w:val="32"/>
    </w:rPr>
  </w:style>
  <w:style w:type="paragraph" w:styleId="Heading4">
    <w:name w:val="heading 4"/>
    <w:basedOn w:val="HeadingBase"/>
    <w:next w:val="BodyText"/>
    <w:link w:val="Heading4Char"/>
    <w:qFormat/>
    <w:rsid w:val="002E2FFD"/>
    <w:pPr>
      <w:spacing w:before="160" w:after="120"/>
      <w:outlineLvl w:val="3"/>
    </w:pPr>
    <w:rPr>
      <w:sz w:val="22"/>
    </w:rPr>
  </w:style>
  <w:style w:type="paragraph" w:styleId="Heading5">
    <w:name w:val="heading 5"/>
    <w:basedOn w:val="HeadingBase"/>
    <w:next w:val="Normal"/>
    <w:link w:val="Heading5Char"/>
    <w:qFormat/>
    <w:rsid w:val="002E2FFD"/>
    <w:pPr>
      <w:spacing w:before="80"/>
      <w:outlineLvl w:val="4"/>
    </w:pPr>
    <w:rPr>
      <w:color w:val="918585"/>
      <w:sz w:val="20"/>
    </w:rPr>
  </w:style>
  <w:style w:type="paragraph" w:styleId="Heading6">
    <w:name w:val="heading 6"/>
    <w:basedOn w:val="HeadingBase"/>
    <w:next w:val="Normal"/>
    <w:link w:val="Heading6Char"/>
    <w:qFormat/>
    <w:rsid w:val="002E2FFD"/>
    <w:pPr>
      <w:spacing w:before="60"/>
      <w:outlineLvl w:val="5"/>
    </w:pPr>
    <w:rPr>
      <w:color w:val="918585"/>
      <w:sz w:val="20"/>
    </w:rPr>
  </w:style>
  <w:style w:type="paragraph" w:styleId="Heading7">
    <w:name w:val="heading 7"/>
    <w:basedOn w:val="Normal"/>
    <w:next w:val="Normal"/>
    <w:link w:val="Heading7Char"/>
    <w:qFormat/>
    <w:rsid w:val="002E2FFD"/>
    <w:pPr>
      <w:ind w:left="720"/>
      <w:outlineLvl w:val="6"/>
    </w:pPr>
    <w:rPr>
      <w:i/>
    </w:rPr>
  </w:style>
  <w:style w:type="paragraph" w:styleId="Heading8">
    <w:name w:val="heading 8"/>
    <w:basedOn w:val="Normal"/>
    <w:next w:val="Normal"/>
    <w:link w:val="Heading8Char"/>
    <w:qFormat/>
    <w:rsid w:val="002E2FFD"/>
    <w:pPr>
      <w:ind w:left="720"/>
      <w:outlineLvl w:val="7"/>
    </w:pPr>
    <w:rPr>
      <w:i/>
    </w:rPr>
  </w:style>
  <w:style w:type="paragraph" w:styleId="Heading9">
    <w:name w:val="heading 9"/>
    <w:basedOn w:val="Normal"/>
    <w:next w:val="Normal"/>
    <w:link w:val="Heading9Char"/>
    <w:qFormat/>
    <w:rsid w:val="002E2FFD"/>
    <w:pPr>
      <w:ind w:left="720"/>
      <w:outlineLvl w:val="8"/>
    </w:pPr>
    <w:rPr>
      <w:i/>
    </w:rPr>
  </w:style>
  <w:style w:type="character" w:default="1" w:styleId="DefaultParagraphFont">
    <w:name w:val="Default Paragraph Font"/>
    <w:uiPriority w:val="1"/>
    <w:unhideWhenUsed/>
    <w:rsid w:val="002E2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FFD"/>
  </w:style>
  <w:style w:type="character" w:customStyle="1" w:styleId="Heading1Char">
    <w:name w:val="Heading 1 Char"/>
    <w:basedOn w:val="DefaultParagraphFont"/>
    <w:link w:val="Heading1"/>
    <w:rsid w:val="002E2FFD"/>
    <w:rPr>
      <w:rFonts w:ascii="Times New Roman" w:eastAsia="Times New Roman" w:hAnsi="Times New Roman" w:cs="Times New Roman"/>
      <w:b/>
      <w:sz w:val="32"/>
      <w:szCs w:val="20"/>
      <w:lang w:eastAsia="en-US"/>
    </w:rPr>
  </w:style>
  <w:style w:type="paragraph" w:styleId="BodyText">
    <w:name w:val="Body Text"/>
    <w:basedOn w:val="Normal"/>
    <w:link w:val="BodyTextChar"/>
    <w:rsid w:val="002E2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FFD"/>
    <w:rPr>
      <w:rFonts w:ascii="Times New Roman" w:eastAsia="Times New Roman" w:hAnsi="Times New Roman" w:cs="Times New Roman"/>
      <w:sz w:val="24"/>
      <w:lang w:eastAsia="en-US"/>
    </w:rPr>
  </w:style>
  <w:style w:type="paragraph" w:styleId="ListBullet">
    <w:name w:val="List Bullet"/>
    <w:basedOn w:val="List"/>
    <w:rsid w:val="002E2FFD"/>
    <w:pPr>
      <w:numPr>
        <w:numId w:val="11"/>
      </w:numPr>
      <w:tabs>
        <w:tab w:val="clear" w:pos="340"/>
      </w:tabs>
      <w:spacing w:before="40" w:after="40"/>
    </w:pPr>
  </w:style>
  <w:style w:type="character" w:customStyle="1" w:styleId="SpecialBold">
    <w:name w:val="Special Bold"/>
    <w:basedOn w:val="DefaultParagraphFont"/>
    <w:rsid w:val="002E2FFD"/>
    <w:rPr>
      <w:b/>
      <w:spacing w:val="0"/>
    </w:rPr>
  </w:style>
  <w:style w:type="paragraph" w:customStyle="1" w:styleId="SuperHeading">
    <w:name w:val="SuperHeading"/>
    <w:basedOn w:val="Normal"/>
    <w:rsid w:val="002E2FFD"/>
    <w:pPr>
      <w:spacing w:before="240" w:after="120"/>
      <w:outlineLvl w:val="0"/>
    </w:pPr>
    <w:rPr>
      <w:rFonts w:ascii="Times New Roman" w:hAnsi="Times New Roman"/>
      <w:b/>
      <w:sz w:val="32"/>
    </w:rPr>
  </w:style>
  <w:style w:type="paragraph" w:customStyle="1" w:styleId="AllowPageBreak">
    <w:name w:val="AllowPageBreak"/>
    <w:rsid w:val="002E2F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FFD"/>
    <w:rPr>
      <w:rFonts w:ascii="Courier New" w:eastAsia="Times New Roman" w:hAnsi="Courier New" w:cs="Times New Roman"/>
      <w:i/>
      <w:szCs w:val="20"/>
      <w:lang w:eastAsia="en-US"/>
    </w:rPr>
  </w:style>
  <w:style w:type="paragraph" w:customStyle="1" w:styleId="HeadingBase">
    <w:name w:val="Heading Base"/>
    <w:rsid w:val="002E2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FFD"/>
    <w:pPr>
      <w:tabs>
        <w:tab w:val="right" w:leader="dot" w:pos="9072"/>
      </w:tabs>
      <w:ind w:left="567"/>
    </w:pPr>
    <w:rPr>
      <w:szCs w:val="22"/>
    </w:rPr>
  </w:style>
  <w:style w:type="paragraph" w:customStyle="1" w:styleId="TOCBase">
    <w:name w:val="TOC Base"/>
    <w:rsid w:val="002E2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FFD"/>
    <w:pPr>
      <w:tabs>
        <w:tab w:val="right" w:leader="dot" w:pos="9072"/>
      </w:tabs>
      <w:spacing w:before="40" w:after="40"/>
      <w:ind w:left="284"/>
    </w:pPr>
    <w:rPr>
      <w:rFonts w:ascii="Times New Roman" w:hAnsi="Times New Roman"/>
    </w:rPr>
  </w:style>
  <w:style w:type="paragraph" w:styleId="TOC1">
    <w:name w:val="toc 1"/>
    <w:basedOn w:val="TOCBase"/>
    <w:next w:val="Normal"/>
    <w:rsid w:val="002E2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FFD"/>
    <w:rPr>
      <w:rFonts w:ascii="Times New Roman" w:eastAsia="Times New Roman" w:hAnsi="Times New Roman" w:cs="Times New Roman"/>
      <w:sz w:val="16"/>
      <w:lang w:eastAsia="en-US"/>
    </w:rPr>
  </w:style>
  <w:style w:type="paragraph" w:styleId="Title">
    <w:name w:val="Title"/>
    <w:basedOn w:val="HeadingBase"/>
    <w:link w:val="TitleChar"/>
    <w:qFormat/>
    <w:rsid w:val="002E2FFD"/>
    <w:pPr>
      <w:spacing w:before="5040"/>
      <w:jc w:val="center"/>
    </w:pPr>
    <w:rPr>
      <w:sz w:val="48"/>
      <w:szCs w:val="72"/>
      <w:lang w:val="en-US"/>
    </w:rPr>
  </w:style>
  <w:style w:type="character" w:customStyle="1" w:styleId="TitleChar">
    <w:name w:val="Title Char"/>
    <w:basedOn w:val="DefaultParagraphFont"/>
    <w:link w:val="Title"/>
    <w:rsid w:val="002E2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FFD"/>
    <w:pPr>
      <w:tabs>
        <w:tab w:val="left" w:pos="3600"/>
        <w:tab w:val="left" w:pos="3958"/>
      </w:tabs>
    </w:pPr>
  </w:style>
  <w:style w:type="paragraph" w:styleId="List">
    <w:name w:val="List"/>
    <w:basedOn w:val="BodyText"/>
    <w:next w:val="BodyText"/>
    <w:rsid w:val="002E2FFD"/>
    <w:pPr>
      <w:tabs>
        <w:tab w:val="left" w:pos="340"/>
      </w:tabs>
      <w:spacing w:before="60" w:after="60"/>
      <w:ind w:left="340" w:hanging="340"/>
    </w:pPr>
  </w:style>
  <w:style w:type="paragraph" w:customStyle="1" w:styleId="Note">
    <w:name w:val="Note"/>
    <w:basedOn w:val="BodyText"/>
    <w:rsid w:val="002E2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FFD"/>
    <w:pPr>
      <w:framePr w:wrap="auto" w:hAnchor="text" w:y="6049"/>
    </w:pPr>
    <w:rPr>
      <w:color w:val="000000"/>
      <w:sz w:val="40"/>
    </w:rPr>
  </w:style>
  <w:style w:type="paragraph" w:customStyle="1" w:styleId="TOCTitle">
    <w:name w:val="TOCTitle"/>
    <w:basedOn w:val="Heading1"/>
    <w:rsid w:val="002E2FFD"/>
    <w:pPr>
      <w:spacing w:after="240"/>
      <w:jc w:val="center"/>
      <w:outlineLvl w:val="9"/>
    </w:pPr>
    <w:rPr>
      <w:caps/>
    </w:rPr>
  </w:style>
  <w:style w:type="paragraph" w:customStyle="1" w:styleId="Version">
    <w:name w:val="Version"/>
    <w:rsid w:val="002E2F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FFD"/>
    <w:pPr>
      <w:numPr>
        <w:numId w:val="12"/>
      </w:numPr>
      <w:tabs>
        <w:tab w:val="clear" w:pos="680"/>
      </w:tabs>
    </w:pPr>
  </w:style>
  <w:style w:type="paragraph" w:styleId="Index1">
    <w:name w:val="index 1"/>
    <w:basedOn w:val="Normal"/>
    <w:next w:val="Normal"/>
    <w:semiHidden/>
    <w:rsid w:val="002E2FFD"/>
    <w:pPr>
      <w:keepNext w:val="0"/>
      <w:tabs>
        <w:tab w:val="right" w:pos="4176"/>
      </w:tabs>
      <w:ind w:left="198" w:hanging="198"/>
    </w:pPr>
    <w:rPr>
      <w:rFonts w:ascii="Garamond" w:hAnsi="Garamond"/>
    </w:rPr>
  </w:style>
  <w:style w:type="paragraph" w:styleId="IndexHeading">
    <w:name w:val="index heading"/>
    <w:basedOn w:val="Normal"/>
    <w:next w:val="Index1"/>
    <w:semiHidden/>
    <w:rsid w:val="002E2FFD"/>
    <w:pPr>
      <w:spacing w:before="120" w:after="120"/>
    </w:pPr>
    <w:rPr>
      <w:rFonts w:ascii="Arial" w:hAnsi="Arial"/>
      <w:b/>
      <w:color w:val="918585"/>
      <w:sz w:val="24"/>
    </w:rPr>
  </w:style>
  <w:style w:type="paragraph" w:styleId="Header">
    <w:name w:val="header"/>
    <w:basedOn w:val="Normal"/>
    <w:link w:val="HeaderChar"/>
    <w:rsid w:val="002E2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FFD"/>
    <w:rPr>
      <w:rFonts w:ascii="Times New Roman" w:eastAsia="Times New Roman" w:hAnsi="Times New Roman" w:cs="Times New Roman"/>
      <w:sz w:val="16"/>
      <w:szCs w:val="20"/>
      <w:lang w:val="en-GB" w:eastAsia="en-US"/>
    </w:rPr>
  </w:style>
  <w:style w:type="paragraph" w:customStyle="1" w:styleId="Chapter">
    <w:name w:val="Chapter"/>
    <w:basedOn w:val="Normal"/>
    <w:rsid w:val="002E2FFD"/>
    <w:pPr>
      <w:spacing w:before="240"/>
    </w:pPr>
    <w:rPr>
      <w:rFonts w:ascii="Times New Roman" w:hAnsi="Times New Roman"/>
      <w:smallCaps/>
      <w:spacing w:val="80"/>
      <w:sz w:val="28"/>
    </w:rPr>
  </w:style>
  <w:style w:type="paragraph" w:customStyle="1" w:styleId="InChapter">
    <w:name w:val="InChapter"/>
    <w:basedOn w:val="Heading3"/>
    <w:rsid w:val="002E2FFD"/>
    <w:pPr>
      <w:spacing w:after="240"/>
      <w:outlineLvl w:val="9"/>
    </w:pPr>
    <w:rPr>
      <w:noProof/>
    </w:rPr>
  </w:style>
  <w:style w:type="paragraph" w:styleId="Index2">
    <w:name w:val="index 2"/>
    <w:basedOn w:val="Normal"/>
    <w:next w:val="Normal"/>
    <w:semiHidden/>
    <w:rsid w:val="002E2FFD"/>
    <w:pPr>
      <w:tabs>
        <w:tab w:val="right" w:pos="4176"/>
      </w:tabs>
      <w:ind w:left="568" w:hanging="284"/>
    </w:pPr>
    <w:rPr>
      <w:rFonts w:ascii="Garamond" w:hAnsi="Garamond"/>
    </w:rPr>
  </w:style>
  <w:style w:type="paragraph" w:customStyle="1" w:styleId="Byline">
    <w:name w:val="Byline"/>
    <w:rsid w:val="002E2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FFD"/>
    <w:pPr>
      <w:tabs>
        <w:tab w:val="clear" w:pos="3600"/>
        <w:tab w:val="clear" w:pos="3958"/>
      </w:tabs>
      <w:jc w:val="right"/>
    </w:pPr>
  </w:style>
  <w:style w:type="character" w:styleId="Emphasis">
    <w:name w:val="Emphasis"/>
    <w:basedOn w:val="DefaultParagraphFont"/>
    <w:qFormat/>
    <w:rsid w:val="002E2FFD"/>
    <w:rPr>
      <w:i/>
    </w:rPr>
  </w:style>
  <w:style w:type="paragraph" w:styleId="Caption">
    <w:name w:val="caption"/>
    <w:basedOn w:val="BodyText"/>
    <w:next w:val="Normal"/>
    <w:qFormat/>
    <w:rsid w:val="002E2FFD"/>
    <w:pPr>
      <w:framePr w:w="2268" w:hSpace="181" w:vSpace="181" w:wrap="around" w:vAnchor="text" w:hAnchor="page" w:x="1135" w:y="285" w:anchorLock="1"/>
    </w:pPr>
    <w:rPr>
      <w:i/>
    </w:rPr>
  </w:style>
  <w:style w:type="paragraph" w:customStyle="1" w:styleId="MiniTOCTitle">
    <w:name w:val="MiniTOCTitle"/>
    <w:basedOn w:val="Heading4"/>
    <w:rsid w:val="002E2FFD"/>
    <w:pPr>
      <w:spacing w:before="240"/>
      <w:outlineLvl w:val="9"/>
    </w:pPr>
    <w:rPr>
      <w:noProof/>
      <w:sz w:val="24"/>
    </w:rPr>
  </w:style>
  <w:style w:type="paragraph" w:customStyle="1" w:styleId="MiniTOCItem">
    <w:name w:val="MiniTOCItem"/>
    <w:basedOn w:val="ListBullet"/>
    <w:rsid w:val="002E2FFD"/>
    <w:pPr>
      <w:numPr>
        <w:numId w:val="0"/>
      </w:numPr>
      <w:tabs>
        <w:tab w:val="right" w:leader="dot" w:pos="6521"/>
      </w:tabs>
      <w:spacing w:before="0" w:after="0"/>
    </w:pPr>
  </w:style>
  <w:style w:type="paragraph" w:customStyle="1" w:styleId="TOFTitle">
    <w:name w:val="TOFTitle"/>
    <w:basedOn w:val="TOCTitle"/>
    <w:rsid w:val="002E2FFD"/>
  </w:style>
  <w:style w:type="paragraph" w:styleId="TableofFigures">
    <w:name w:val="table of figures"/>
    <w:basedOn w:val="Normal"/>
    <w:next w:val="Normal"/>
    <w:semiHidden/>
    <w:rsid w:val="002E2FFD"/>
    <w:pPr>
      <w:tabs>
        <w:tab w:val="right" w:leader="dot" w:pos="9072"/>
      </w:tabs>
      <w:ind w:left="970" w:hanging="403"/>
    </w:pPr>
    <w:rPr>
      <w:rFonts w:ascii="Times New Roman" w:hAnsi="Times New Roman"/>
      <w:b/>
    </w:rPr>
  </w:style>
  <w:style w:type="paragraph" w:styleId="ListNumber">
    <w:name w:val="List Number"/>
    <w:basedOn w:val="List"/>
    <w:rsid w:val="002E2FFD"/>
    <w:pPr>
      <w:numPr>
        <w:numId w:val="14"/>
      </w:numPr>
      <w:tabs>
        <w:tab w:val="clear" w:pos="340"/>
      </w:tabs>
    </w:pPr>
  </w:style>
  <w:style w:type="character" w:customStyle="1" w:styleId="WingdingSymbols">
    <w:name w:val="Wingding Symbols"/>
    <w:rsid w:val="002E2FFD"/>
    <w:rPr>
      <w:rFonts w:ascii="Wingdings" w:hAnsi="Wingdings"/>
    </w:rPr>
  </w:style>
  <w:style w:type="paragraph" w:customStyle="1" w:styleId="TableHeading">
    <w:name w:val="Table Heading"/>
    <w:basedOn w:val="HeadingBase"/>
    <w:rsid w:val="002E2FFD"/>
    <w:pPr>
      <w:keepLines/>
      <w:pBdr>
        <w:bottom w:val="single" w:sz="6" w:space="1" w:color="918585"/>
      </w:pBdr>
      <w:spacing w:before="240"/>
    </w:pPr>
  </w:style>
  <w:style w:type="character" w:customStyle="1" w:styleId="HotSpot">
    <w:name w:val="HotSpot"/>
    <w:rsid w:val="002E2FFD"/>
    <w:rPr>
      <w:color w:val="0033CC"/>
      <w:u w:val="none"/>
    </w:rPr>
  </w:style>
  <w:style w:type="paragraph" w:customStyle="1" w:styleId="BodyTextRight">
    <w:name w:val="Body Text Right"/>
    <w:basedOn w:val="BodyText"/>
    <w:rsid w:val="002E2FFD"/>
    <w:pPr>
      <w:spacing w:before="0" w:after="0"/>
      <w:jc w:val="right"/>
    </w:pPr>
  </w:style>
  <w:style w:type="paragraph" w:styleId="Index3">
    <w:name w:val="index 3"/>
    <w:basedOn w:val="ListNumber2"/>
    <w:next w:val="Normal"/>
    <w:semiHidden/>
    <w:rsid w:val="002E2FFD"/>
    <w:pPr>
      <w:numPr>
        <w:numId w:val="0"/>
      </w:numPr>
      <w:tabs>
        <w:tab w:val="right" w:leader="dot" w:pos="4176"/>
      </w:tabs>
    </w:pPr>
  </w:style>
  <w:style w:type="paragraph" w:styleId="ListNumber2">
    <w:name w:val="List Number 2"/>
    <w:basedOn w:val="List2"/>
    <w:rsid w:val="002E2FFD"/>
    <w:pPr>
      <w:numPr>
        <w:numId w:val="9"/>
      </w:numPr>
      <w:tabs>
        <w:tab w:val="clear" w:pos="1060"/>
      </w:tabs>
    </w:pPr>
  </w:style>
  <w:style w:type="paragraph" w:customStyle="1" w:styleId="MarginNote">
    <w:name w:val="Margin Note"/>
    <w:basedOn w:val="BodyText"/>
    <w:rsid w:val="002E2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FFD"/>
    <w:rPr>
      <w:sz w:val="32"/>
    </w:rPr>
  </w:style>
  <w:style w:type="paragraph" w:customStyle="1" w:styleId="HeadingProcedure">
    <w:name w:val="Heading Procedure"/>
    <w:basedOn w:val="HeadingBase"/>
    <w:next w:val="Normal"/>
    <w:rsid w:val="002E2FFD"/>
    <w:pPr>
      <w:tabs>
        <w:tab w:val="left" w:pos="0"/>
      </w:tabs>
      <w:spacing w:before="120" w:after="60"/>
    </w:pPr>
    <w:rPr>
      <w:i/>
      <w:color w:val="918585"/>
      <w:sz w:val="22"/>
    </w:rPr>
  </w:style>
  <w:style w:type="paragraph" w:customStyle="1" w:styleId="TableBodyText">
    <w:name w:val="Table Body Text"/>
    <w:basedOn w:val="BodyText"/>
    <w:rsid w:val="002E2FFD"/>
    <w:pPr>
      <w:spacing w:before="60" w:after="60"/>
    </w:pPr>
  </w:style>
  <w:style w:type="paragraph" w:styleId="ListContinue">
    <w:name w:val="List Continue"/>
    <w:basedOn w:val="List"/>
    <w:rsid w:val="002E2FFD"/>
    <w:pPr>
      <w:ind w:firstLine="0"/>
    </w:pPr>
  </w:style>
  <w:style w:type="paragraph" w:customStyle="1" w:styleId="ListNote">
    <w:name w:val="List Note"/>
    <w:basedOn w:val="List"/>
    <w:rsid w:val="002E2FFD"/>
    <w:pPr>
      <w:pBdr>
        <w:top w:val="single" w:sz="6" w:space="2" w:color="918585"/>
        <w:bottom w:val="single" w:sz="6" w:space="2" w:color="918585"/>
      </w:pBdr>
      <w:tabs>
        <w:tab w:val="left" w:pos="1021"/>
      </w:tabs>
      <w:ind w:firstLine="0"/>
    </w:pPr>
  </w:style>
  <w:style w:type="paragraph" w:customStyle="1" w:styleId="Warning">
    <w:name w:val="Warning"/>
    <w:basedOn w:val="BodyText"/>
    <w:rsid w:val="002E2FFD"/>
    <w:pPr>
      <w:shd w:val="clear" w:color="auto" w:fill="D9D9D9"/>
      <w:tabs>
        <w:tab w:val="left" w:pos="992"/>
      </w:tabs>
      <w:ind w:left="119" w:right="119"/>
    </w:pPr>
    <w:rPr>
      <w:sz w:val="20"/>
    </w:rPr>
  </w:style>
  <w:style w:type="paragraph" w:customStyle="1" w:styleId="MarginIcons">
    <w:name w:val="Margin Icons"/>
    <w:basedOn w:val="BodyText"/>
    <w:rsid w:val="002E2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FFD"/>
    <w:rPr>
      <w:rFonts w:ascii="Courier New" w:hAnsi="Courier New"/>
    </w:rPr>
  </w:style>
  <w:style w:type="paragraph" w:customStyle="1" w:styleId="NoteBullet">
    <w:name w:val="Note Bullet"/>
    <w:basedOn w:val="Note"/>
    <w:rsid w:val="002E2FFD"/>
    <w:pPr>
      <w:tabs>
        <w:tab w:val="clear" w:pos="680"/>
      </w:tabs>
      <w:spacing w:before="60" w:after="60"/>
    </w:pPr>
  </w:style>
  <w:style w:type="paragraph" w:customStyle="1" w:styleId="SubHeading2">
    <w:name w:val="SubHeading2"/>
    <w:basedOn w:val="HeadingBase"/>
    <w:rsid w:val="002E2FFD"/>
    <w:pPr>
      <w:spacing w:before="240" w:after="60"/>
    </w:pPr>
    <w:rPr>
      <w:sz w:val="20"/>
    </w:rPr>
  </w:style>
  <w:style w:type="paragraph" w:customStyle="1" w:styleId="SubHeading1">
    <w:name w:val="SubHeading1"/>
    <w:basedOn w:val="HeadingBase"/>
    <w:rsid w:val="002E2FFD"/>
    <w:pPr>
      <w:spacing w:before="240" w:after="60"/>
    </w:pPr>
    <w:rPr>
      <w:color w:val="918585"/>
      <w:sz w:val="22"/>
    </w:rPr>
  </w:style>
  <w:style w:type="paragraph" w:customStyle="1" w:styleId="SideHeading">
    <w:name w:val="Side Heading"/>
    <w:basedOn w:val="HeadingBase"/>
    <w:rsid w:val="002E2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FFD"/>
    <w:pPr>
      <w:numPr>
        <w:numId w:val="10"/>
      </w:numPr>
    </w:pPr>
  </w:style>
  <w:style w:type="paragraph" w:styleId="PlainText">
    <w:name w:val="Plain Text"/>
    <w:basedOn w:val="Normal"/>
    <w:link w:val="PlainTextChar"/>
    <w:rsid w:val="002E2FFD"/>
    <w:rPr>
      <w:sz w:val="20"/>
    </w:rPr>
  </w:style>
  <w:style w:type="character" w:customStyle="1" w:styleId="PlainTextChar">
    <w:name w:val="Plain Text Char"/>
    <w:basedOn w:val="DefaultParagraphFont"/>
    <w:link w:val="PlainText"/>
    <w:rsid w:val="002E2FFD"/>
    <w:rPr>
      <w:rFonts w:ascii="Courier New" w:eastAsia="Times New Roman" w:hAnsi="Courier New" w:cs="Times New Roman"/>
      <w:sz w:val="20"/>
      <w:szCs w:val="20"/>
      <w:lang w:eastAsia="en-US"/>
    </w:rPr>
  </w:style>
  <w:style w:type="character" w:customStyle="1" w:styleId="MenuOption">
    <w:name w:val="Menu Option"/>
    <w:basedOn w:val="DefaultParagraphFont"/>
    <w:rsid w:val="002E2FFD"/>
    <w:rPr>
      <w:b/>
      <w:smallCaps/>
    </w:rPr>
  </w:style>
  <w:style w:type="paragraph" w:customStyle="1" w:styleId="TableListNumber">
    <w:name w:val="Table List Number"/>
    <w:basedOn w:val="ListNumber"/>
    <w:rsid w:val="002E2FFD"/>
    <w:pPr>
      <w:numPr>
        <w:numId w:val="0"/>
      </w:numPr>
    </w:pPr>
  </w:style>
  <w:style w:type="paragraph" w:styleId="TOC4">
    <w:name w:val="toc 4"/>
    <w:basedOn w:val="TOCBase"/>
    <w:next w:val="Normal"/>
    <w:semiHidden/>
    <w:rsid w:val="002E2FFD"/>
    <w:pPr>
      <w:tabs>
        <w:tab w:val="right" w:leader="dot" w:pos="9071"/>
      </w:tabs>
      <w:ind w:left="1701"/>
    </w:pPr>
  </w:style>
  <w:style w:type="paragraph" w:customStyle="1" w:styleId="ListAlpha">
    <w:name w:val="List Alpha"/>
    <w:basedOn w:val="List"/>
    <w:rsid w:val="002E2FFD"/>
    <w:pPr>
      <w:numPr>
        <w:numId w:val="8"/>
      </w:numPr>
    </w:pPr>
  </w:style>
  <w:style w:type="paragraph" w:customStyle="1" w:styleId="ListAlpha2">
    <w:name w:val="List Alpha 2"/>
    <w:basedOn w:val="List2"/>
    <w:rsid w:val="002E2FFD"/>
    <w:pPr>
      <w:numPr>
        <w:numId w:val="7"/>
      </w:numPr>
    </w:pPr>
  </w:style>
  <w:style w:type="paragraph" w:styleId="List2">
    <w:name w:val="List 2"/>
    <w:basedOn w:val="BodyText"/>
    <w:rsid w:val="002E2FFD"/>
    <w:pPr>
      <w:tabs>
        <w:tab w:val="left" w:pos="680"/>
      </w:tabs>
      <w:spacing w:before="60" w:after="60"/>
      <w:ind w:left="680" w:hanging="340"/>
    </w:pPr>
  </w:style>
  <w:style w:type="paragraph" w:styleId="List3">
    <w:name w:val="List 3"/>
    <w:basedOn w:val="BodyText"/>
    <w:rsid w:val="002E2FFD"/>
    <w:pPr>
      <w:tabs>
        <w:tab w:val="left" w:pos="1021"/>
      </w:tabs>
      <w:spacing w:before="60" w:after="60"/>
      <w:ind w:left="1020" w:hanging="340"/>
    </w:pPr>
  </w:style>
  <w:style w:type="paragraph" w:styleId="List4">
    <w:name w:val="List 4"/>
    <w:basedOn w:val="BodyText"/>
    <w:rsid w:val="002E2FFD"/>
    <w:pPr>
      <w:tabs>
        <w:tab w:val="left" w:pos="1361"/>
      </w:tabs>
      <w:spacing w:before="60" w:after="60"/>
      <w:ind w:left="1361" w:hanging="340"/>
    </w:pPr>
  </w:style>
  <w:style w:type="paragraph" w:styleId="List5">
    <w:name w:val="List 5"/>
    <w:basedOn w:val="BodyText"/>
    <w:rsid w:val="002E2FFD"/>
    <w:pPr>
      <w:tabs>
        <w:tab w:val="left" w:pos="1701"/>
      </w:tabs>
      <w:spacing w:before="60" w:after="60"/>
      <w:ind w:left="1701" w:hanging="340"/>
    </w:pPr>
  </w:style>
  <w:style w:type="paragraph" w:styleId="ListBullet3">
    <w:name w:val="List Bullet 3"/>
    <w:basedOn w:val="List3"/>
    <w:rsid w:val="002E2FFD"/>
    <w:pPr>
      <w:numPr>
        <w:numId w:val="13"/>
      </w:numPr>
      <w:tabs>
        <w:tab w:val="clear" w:pos="1021"/>
      </w:tabs>
      <w:ind w:left="1037" w:hanging="357"/>
    </w:pPr>
  </w:style>
  <w:style w:type="paragraph" w:styleId="ListBullet4">
    <w:name w:val="List Bullet 4"/>
    <w:basedOn w:val="List4"/>
    <w:rsid w:val="002E2FFD"/>
    <w:pPr>
      <w:numPr>
        <w:numId w:val="2"/>
      </w:numPr>
      <w:tabs>
        <w:tab w:val="clear" w:pos="1361"/>
      </w:tabs>
    </w:pPr>
  </w:style>
  <w:style w:type="paragraph" w:styleId="ListBullet5">
    <w:name w:val="List Bullet 5"/>
    <w:basedOn w:val="List5"/>
    <w:rsid w:val="002E2FFD"/>
    <w:pPr>
      <w:numPr>
        <w:numId w:val="3"/>
      </w:numPr>
    </w:pPr>
  </w:style>
  <w:style w:type="paragraph" w:styleId="ListContinue2">
    <w:name w:val="List Continue 2"/>
    <w:basedOn w:val="List2"/>
    <w:rsid w:val="002E2FFD"/>
    <w:pPr>
      <w:ind w:firstLine="0"/>
    </w:pPr>
  </w:style>
  <w:style w:type="paragraph" w:styleId="ListContinue3">
    <w:name w:val="List Continue 3"/>
    <w:basedOn w:val="List3"/>
    <w:rsid w:val="002E2FFD"/>
    <w:pPr>
      <w:ind w:left="1021" w:firstLine="0"/>
    </w:pPr>
  </w:style>
  <w:style w:type="paragraph" w:styleId="ListContinue4">
    <w:name w:val="List Continue 4"/>
    <w:basedOn w:val="List4"/>
    <w:rsid w:val="002E2FFD"/>
    <w:pPr>
      <w:ind w:firstLine="0"/>
    </w:pPr>
  </w:style>
  <w:style w:type="paragraph" w:styleId="ListContinue5">
    <w:name w:val="List Continue 5"/>
    <w:basedOn w:val="List5"/>
    <w:rsid w:val="002E2FFD"/>
    <w:pPr>
      <w:ind w:firstLine="0"/>
    </w:pPr>
  </w:style>
  <w:style w:type="paragraph" w:styleId="ListNumber3">
    <w:name w:val="List Number 3"/>
    <w:basedOn w:val="List3"/>
    <w:rsid w:val="002E2FFD"/>
    <w:pPr>
      <w:numPr>
        <w:numId w:val="4"/>
      </w:numPr>
    </w:pPr>
  </w:style>
  <w:style w:type="paragraph" w:styleId="ListNumber4">
    <w:name w:val="List Number 4"/>
    <w:basedOn w:val="List4"/>
    <w:rsid w:val="002E2FFD"/>
    <w:pPr>
      <w:numPr>
        <w:numId w:val="5"/>
      </w:numPr>
    </w:pPr>
  </w:style>
  <w:style w:type="paragraph" w:styleId="ListNumber5">
    <w:name w:val="List Number 5"/>
    <w:basedOn w:val="List5"/>
    <w:rsid w:val="002E2FFD"/>
    <w:pPr>
      <w:numPr>
        <w:numId w:val="6"/>
      </w:numPr>
    </w:pPr>
  </w:style>
  <w:style w:type="paragraph" w:styleId="BlockText">
    <w:name w:val="Block Text"/>
    <w:basedOn w:val="Normal"/>
    <w:rsid w:val="002E2FFD"/>
    <w:pPr>
      <w:spacing w:after="120"/>
      <w:ind w:left="1440" w:right="1440"/>
    </w:pPr>
  </w:style>
  <w:style w:type="character" w:customStyle="1" w:styleId="Subscript">
    <w:name w:val="Subscript"/>
    <w:basedOn w:val="DefaultParagraphFont"/>
    <w:rsid w:val="002E2FFD"/>
    <w:rPr>
      <w:sz w:val="16"/>
      <w:vertAlign w:val="subscript"/>
    </w:rPr>
  </w:style>
  <w:style w:type="character" w:customStyle="1" w:styleId="Superscript">
    <w:name w:val="Superscript"/>
    <w:basedOn w:val="DefaultParagraphFont"/>
    <w:rsid w:val="002E2FFD"/>
    <w:rPr>
      <w:sz w:val="16"/>
      <w:vertAlign w:val="superscript"/>
    </w:rPr>
  </w:style>
  <w:style w:type="character" w:customStyle="1" w:styleId="Symbols">
    <w:name w:val="Symbols"/>
    <w:basedOn w:val="DefaultParagraphFont"/>
    <w:rsid w:val="002E2FFD"/>
    <w:rPr>
      <w:rFonts w:ascii="Symbol" w:hAnsi="Symbol"/>
    </w:rPr>
  </w:style>
  <w:style w:type="character" w:customStyle="1" w:styleId="MenuOptions">
    <w:name w:val="Menu Options"/>
    <w:basedOn w:val="DefaultParagraphFont"/>
    <w:rsid w:val="002E2FFD"/>
    <w:rPr>
      <w:rFonts w:ascii="Arial Narrow" w:hAnsi="Arial Narrow"/>
      <w:smallCaps/>
    </w:rPr>
  </w:style>
  <w:style w:type="character" w:customStyle="1" w:styleId="Buttons">
    <w:name w:val="Buttons"/>
    <w:basedOn w:val="DefaultParagraphFont"/>
    <w:rsid w:val="002E2FFD"/>
    <w:rPr>
      <w:b/>
    </w:rPr>
  </w:style>
  <w:style w:type="character" w:customStyle="1" w:styleId="Underlined">
    <w:name w:val="Underlined"/>
    <w:basedOn w:val="DefaultParagraphFont"/>
    <w:rsid w:val="002E2FFD"/>
    <w:rPr>
      <w:u w:val="single"/>
    </w:rPr>
  </w:style>
  <w:style w:type="paragraph" w:customStyle="1" w:styleId="TableBodyTextRight">
    <w:name w:val="Table Body Text Right"/>
    <w:basedOn w:val="TableBodyText"/>
    <w:rsid w:val="002E2FFD"/>
    <w:pPr>
      <w:widowControl w:val="0"/>
      <w:autoSpaceDE w:val="0"/>
      <w:autoSpaceDN w:val="0"/>
      <w:adjustRightInd w:val="0"/>
      <w:jc w:val="right"/>
    </w:pPr>
    <w:rPr>
      <w:rFonts w:cs="Arial"/>
      <w:szCs w:val="18"/>
    </w:rPr>
  </w:style>
  <w:style w:type="paragraph" w:customStyle="1" w:styleId="CopyrightText">
    <w:name w:val="Copyright Text"/>
    <w:basedOn w:val="BodyText"/>
    <w:rsid w:val="002E2FFD"/>
    <w:rPr>
      <w:sz w:val="18"/>
    </w:rPr>
  </w:style>
  <w:style w:type="paragraph" w:customStyle="1" w:styleId="BodySmallRight">
    <w:name w:val="Body Small Right"/>
    <w:basedOn w:val="BodyTextRight"/>
    <w:rsid w:val="002E2FFD"/>
    <w:rPr>
      <w:sz w:val="18"/>
      <w:szCs w:val="18"/>
    </w:rPr>
  </w:style>
  <w:style w:type="paragraph" w:customStyle="1" w:styleId="MarginEdition">
    <w:name w:val="Margin Edition"/>
    <w:basedOn w:val="MarginNote"/>
    <w:rsid w:val="002E2FFD"/>
    <w:pPr>
      <w:spacing w:before="0" w:after="0"/>
    </w:pPr>
    <w:rPr>
      <w:rFonts w:ascii="Times New Roman" w:hAnsi="Times New Roman"/>
      <w:color w:val="999999"/>
    </w:rPr>
  </w:style>
  <w:style w:type="paragraph" w:customStyle="1" w:styleId="Spacer">
    <w:name w:val="Spacer"/>
    <w:basedOn w:val="Normal"/>
    <w:rsid w:val="002E2FFD"/>
    <w:rPr>
      <w:sz w:val="2"/>
      <w:szCs w:val="2"/>
    </w:rPr>
  </w:style>
  <w:style w:type="character" w:customStyle="1" w:styleId="Small">
    <w:name w:val="Small"/>
    <w:basedOn w:val="DefaultParagraphFont"/>
    <w:rsid w:val="002E2FFD"/>
    <w:rPr>
      <w:sz w:val="16"/>
    </w:rPr>
  </w:style>
  <w:style w:type="paragraph" w:customStyle="1" w:styleId="WideTable">
    <w:name w:val="Wide Table"/>
    <w:basedOn w:val="Normal"/>
    <w:rsid w:val="002E2FFD"/>
    <w:pPr>
      <w:ind w:left="-1418"/>
    </w:pPr>
    <w:rPr>
      <w:sz w:val="2"/>
      <w:szCs w:val="2"/>
    </w:rPr>
  </w:style>
  <w:style w:type="character" w:styleId="PageNumber">
    <w:name w:val="page number"/>
    <w:basedOn w:val="DefaultParagraphFont"/>
    <w:rsid w:val="002E2FFD"/>
  </w:style>
  <w:style w:type="paragraph" w:styleId="Quote">
    <w:name w:val="Quote"/>
    <w:basedOn w:val="Heading1"/>
    <w:link w:val="QuoteChar"/>
    <w:qFormat/>
    <w:rsid w:val="002E2FFD"/>
    <w:rPr>
      <w:b w:val="0"/>
      <w:sz w:val="72"/>
      <w:szCs w:val="72"/>
      <w:lang w:val="en-NZ"/>
    </w:rPr>
  </w:style>
  <w:style w:type="character" w:customStyle="1" w:styleId="QuoteChar">
    <w:name w:val="Quote Char"/>
    <w:basedOn w:val="DefaultParagraphFont"/>
    <w:link w:val="Quote"/>
    <w:rsid w:val="002E2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FFD"/>
    <w:pPr>
      <w:pageBreakBefore/>
    </w:pPr>
  </w:style>
  <w:style w:type="paragraph" w:customStyle="1" w:styleId="Border">
    <w:name w:val="Border"/>
    <w:basedOn w:val="Normal"/>
    <w:qFormat/>
    <w:rsid w:val="002E2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FFD"/>
    <w:rPr>
      <w:b/>
      <w:bCs/>
      <w:i/>
      <w:iCs/>
      <w:color w:val="auto"/>
    </w:rPr>
  </w:style>
  <w:style w:type="paragraph" w:styleId="IntenseQuote">
    <w:name w:val="Intense Quote"/>
    <w:basedOn w:val="Normal"/>
    <w:next w:val="Normal"/>
    <w:link w:val="IntenseQuoteChar"/>
    <w:uiPriority w:val="30"/>
    <w:qFormat/>
    <w:rsid w:val="002E2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FFD"/>
    <w:rPr>
      <w:smallCaps/>
      <w:color w:val="auto"/>
      <w:u w:val="single"/>
    </w:rPr>
  </w:style>
  <w:style w:type="character" w:styleId="IntenseReference">
    <w:name w:val="Intense Reference"/>
    <w:basedOn w:val="DefaultParagraphFont"/>
    <w:uiPriority w:val="32"/>
    <w:qFormat/>
    <w:rsid w:val="002E2FFD"/>
    <w:rPr>
      <w:b/>
      <w:bCs/>
      <w:smallCaps/>
      <w:color w:val="auto"/>
      <w:spacing w:val="5"/>
      <w:u w:val="single"/>
    </w:rPr>
  </w:style>
  <w:style w:type="paragraph" w:customStyle="1" w:styleId="2ColumnHeading">
    <w:name w:val="2Column Heading"/>
    <w:basedOn w:val="BodyText"/>
    <w:qFormat/>
    <w:rsid w:val="002E2FFD"/>
    <w:pPr>
      <w:spacing w:after="60"/>
      <w:ind w:left="-2268"/>
    </w:pPr>
    <w:rPr>
      <w:b/>
    </w:rPr>
  </w:style>
  <w:style w:type="paragraph" w:customStyle="1" w:styleId="Heading1TOC">
    <w:name w:val="Heading1 TOC"/>
    <w:basedOn w:val="Normal"/>
    <w:qFormat/>
    <w:rsid w:val="002E2FFD"/>
    <w:pPr>
      <w:spacing w:before="240" w:after="120"/>
    </w:pPr>
    <w:rPr>
      <w:rFonts w:ascii="Times New Roman" w:hAnsi="Times New Roman"/>
      <w:b/>
      <w:sz w:val="32"/>
    </w:rPr>
  </w:style>
  <w:style w:type="paragraph" w:customStyle="1" w:styleId="Heading2TOC">
    <w:name w:val="Heading2 TOC"/>
    <w:basedOn w:val="Normal"/>
    <w:qFormat/>
    <w:rsid w:val="002E2FFD"/>
    <w:pPr>
      <w:spacing w:before="240" w:after="60"/>
    </w:pPr>
    <w:rPr>
      <w:rFonts w:ascii="Times New Roman" w:hAnsi="Times New Roman"/>
      <w:b/>
      <w:sz w:val="28"/>
    </w:rPr>
  </w:style>
  <w:style w:type="character" w:customStyle="1" w:styleId="Underline">
    <w:name w:val="Underline"/>
    <w:basedOn w:val="DefaultParagraphFont"/>
    <w:qFormat/>
    <w:rsid w:val="002E2FFD"/>
    <w:rPr>
      <w:u w:val="single"/>
    </w:rPr>
  </w:style>
  <w:style w:type="character" w:customStyle="1" w:styleId="BoldandItalics">
    <w:name w:val="Bold and Italics"/>
    <w:qFormat/>
    <w:rsid w:val="002E2FFD"/>
    <w:rPr>
      <w:b/>
      <w:i/>
      <w:u w:val="none"/>
    </w:rPr>
  </w:style>
  <w:style w:type="paragraph" w:styleId="BalloonText">
    <w:name w:val="Balloon Text"/>
    <w:basedOn w:val="Normal"/>
    <w:link w:val="BalloonTextChar"/>
    <w:rsid w:val="002E2FFD"/>
    <w:rPr>
      <w:rFonts w:ascii="Tahoma" w:hAnsi="Tahoma" w:cs="Tahoma"/>
      <w:sz w:val="16"/>
      <w:szCs w:val="16"/>
    </w:rPr>
  </w:style>
  <w:style w:type="character" w:customStyle="1" w:styleId="BalloonTextChar">
    <w:name w:val="Balloon Text Char"/>
    <w:basedOn w:val="DefaultParagraphFont"/>
    <w:link w:val="BalloonText"/>
    <w:rsid w:val="002E2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FFD"/>
    <w:rPr>
      <w:b/>
      <w:color w:val="660033"/>
      <w:spacing w:val="0"/>
    </w:rPr>
  </w:style>
  <w:style w:type="paragraph" w:customStyle="1" w:styleId="Nameditemlist">
    <w:name w:val="Named item list"/>
    <w:basedOn w:val="BodyText"/>
    <w:qFormat/>
    <w:rsid w:val="002E2FFD"/>
    <w:pPr>
      <w:tabs>
        <w:tab w:val="left" w:pos="2835"/>
      </w:tabs>
      <w:ind w:left="2835" w:hanging="2835"/>
    </w:pPr>
  </w:style>
  <w:style w:type="paragraph" w:customStyle="1" w:styleId="BodyTextnopadding">
    <w:name w:val="Body Text no padding"/>
    <w:basedOn w:val="BodyText"/>
    <w:qFormat/>
    <w:rsid w:val="002E2FFD"/>
    <w:pPr>
      <w:spacing w:before="0" w:after="0"/>
    </w:pPr>
  </w:style>
  <w:style w:type="paragraph" w:customStyle="1" w:styleId="BodyTextBold">
    <w:name w:val="Body Text Bold"/>
    <w:basedOn w:val="BodyText"/>
    <w:qFormat/>
    <w:rsid w:val="002E2FFD"/>
    <w:rPr>
      <w:b/>
    </w:rPr>
  </w:style>
  <w:style w:type="character" w:styleId="Hyperlink">
    <w:name w:val="Hyperlink"/>
    <w:basedOn w:val="DefaultParagraphFont"/>
    <w:uiPriority w:val="99"/>
    <w:unhideWhenUsed/>
    <w:rsid w:val="00AB0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973</Words>
  <Characters>5984</Characters>
  <Application>Microsoft Office Word</Application>
  <DocSecurity>0</DocSecurity>
  <Lines>332</Lines>
  <Paragraphs>198</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MEM07041 Perform production machining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2023-02-03T06:28:00Z</dcterms:created>
  <dcterms:modified xsi:type="dcterms:W3CDTF">2023-02-03T06:28:00Z</dcterms:modified>
</cp:coreProperties>
</file>