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38C" w:rsidP="00914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MEM07041 Perform production machining</w:t>
      </w:r>
      <w:r>
        <w:fldChar w:fldCharType="end"/>
      </w:r>
    </w:p>
    <w:p w:rsidR="0091438C" w:rsidP="0091438C">
      <w:pPr>
        <w:pStyle w:val="Version"/>
        <w:sectPr w:rsidSect="00660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816" w:rsidP="00660816">
      <w:pPr>
        <w:pStyle w:val="SuperHeading"/>
      </w:pPr>
      <w:r w:rsidRPr="00660816">
        <w:t>Assessment Requirements for MEM07041 Perform production machining</w:t>
      </w:r>
    </w:p>
    <w:p w:rsidR="00000000" w:rsidRPr="00660816" w:rsidP="00660816">
      <w:pPr>
        <w:pStyle w:val="Heading1"/>
      </w:pPr>
      <w:bookmarkStart w:id="1" w:name="O_954559"/>
      <w:bookmarkEnd w:id="1"/>
      <w:r w:rsidRPr="00660816">
        <w:t>Modification History</w:t>
      </w:r>
    </w:p>
    <w:p w:rsidR="00000000" w:rsidRPr="00660816" w:rsidP="0091438C">
      <w:pPr>
        <w:pStyle w:val="BodyText"/>
      </w:pPr>
      <w:r w:rsidRPr="00660816">
        <w:t xml:space="preserve">Release 1. Supersedes and is equivalent to MEM07041A Perform production machining </w:t>
      </w:r>
    </w:p>
    <w:p w:rsidR="00000000" w:rsidRPr="00660816" w:rsidP="00660816">
      <w:pPr>
        <w:pStyle w:val="Heading1"/>
      </w:pPr>
      <w:bookmarkStart w:id="2" w:name="O_954562"/>
      <w:bookmarkEnd w:id="2"/>
      <w:r w:rsidRPr="00660816">
        <w:t>Performance Evidence</w:t>
      </w:r>
    </w:p>
    <w:p w:rsidR="00000000" w:rsidRPr="00660816" w:rsidP="0091438C">
      <w:pPr>
        <w:pStyle w:val="BodyText"/>
      </w:pPr>
      <w:r w:rsidRPr="00660816">
        <w:t>Evidence required to demonstrate competence in this unit must be relevant to and satisfy the requirements of the elements and performance criteria on at least two (2) occasions and include:</w:t>
      </w:r>
    </w:p>
    <w:p w:rsidR="00000000" w:rsidRPr="00660816" w:rsidP="00660816">
      <w:pPr>
        <w:pStyle w:val="ListBullet"/>
      </w:pPr>
      <w:r w:rsidRPr="00660816">
        <w:t>following work instructions, standard operating procedures (SOPs)</w:t>
      </w:r>
      <w:r w:rsidRPr="00660816">
        <w:t xml:space="preserve"> and safe work practices </w:t>
      </w:r>
    </w:p>
    <w:p w:rsidR="00000000" w:rsidRPr="00660816" w:rsidP="00660816">
      <w:pPr>
        <w:pStyle w:val="ListBullet"/>
      </w:pPr>
      <w:r w:rsidRPr="00660816">
        <w:t>identifying and interpreting specifications, drawings and other applicable reference documents to perform production machining</w:t>
      </w:r>
    </w:p>
    <w:p w:rsidR="00000000" w:rsidRPr="00660816" w:rsidP="00660816">
      <w:pPr>
        <w:pStyle w:val="ListBullet"/>
      </w:pPr>
      <w:r w:rsidRPr="00660816">
        <w:t>selecting appropriate tooling, measuring equipment, material and accessories and determining sequencing</w:t>
      </w:r>
      <w:r w:rsidRPr="00660816">
        <w:t xml:space="preserve"> of operations</w:t>
      </w:r>
    </w:p>
    <w:p w:rsidR="00000000" w:rsidRPr="00660816" w:rsidP="00660816">
      <w:pPr>
        <w:pStyle w:val="ListBullet"/>
      </w:pPr>
      <w:r w:rsidRPr="00660816">
        <w:t>sharpening and shaping cutting tools and drills</w:t>
      </w:r>
    </w:p>
    <w:p w:rsidR="00000000" w:rsidRPr="00660816" w:rsidP="00660816">
      <w:pPr>
        <w:pStyle w:val="ListBullet"/>
      </w:pPr>
      <w:r w:rsidRPr="00660816">
        <w:t>selecting and mounting required tooling or grinding wheels</w:t>
      </w:r>
    </w:p>
    <w:p w:rsidR="00000000" w:rsidRPr="00660816" w:rsidP="00660816">
      <w:pPr>
        <w:pStyle w:val="ListBullet"/>
      </w:pPr>
      <w:r w:rsidRPr="00660816">
        <w:t>setting machining parameters, including using appropriate coolant and lubricants</w:t>
      </w:r>
    </w:p>
    <w:p w:rsidR="00000000" w:rsidRPr="00660816" w:rsidP="00660816">
      <w:pPr>
        <w:pStyle w:val="ListBullet"/>
      </w:pPr>
      <w:r w:rsidRPr="00660816">
        <w:t>checking machined components for conformance to speci</w:t>
      </w:r>
      <w:r w:rsidRPr="00660816">
        <w:t>fications and identifying adjustments to be made to settings/tooling.</w:t>
      </w:r>
    </w:p>
    <w:p w:rsidR="00000000" w:rsidRPr="00660816" w:rsidP="00660816">
      <w:pPr>
        <w:pStyle w:val="ListBullet"/>
      </w:pPr>
      <w:r w:rsidRPr="00660816">
        <w:t>rectifying non-compliant product</w:t>
      </w:r>
    </w:p>
    <w:p w:rsidR="00000000" w:rsidRPr="00660816" w:rsidP="00660816">
      <w:pPr>
        <w:pStyle w:val="ListBullet"/>
      </w:pPr>
      <w:r w:rsidRPr="00660816">
        <w:t>carrying out routine maintenance and adjustments, as required</w:t>
      </w:r>
    </w:p>
    <w:p w:rsidR="00000000" w:rsidRPr="00660816" w:rsidP="00660816">
      <w:pPr>
        <w:pStyle w:val="ListBullet"/>
      </w:pPr>
      <w:r w:rsidRPr="00660816">
        <w:t>reporting/logging malfunctions according to SOPs</w:t>
      </w:r>
    </w:p>
    <w:p w:rsidR="00000000" w:rsidRPr="00660816" w:rsidP="00660816">
      <w:pPr>
        <w:pStyle w:val="AllowPageBreak"/>
      </w:pPr>
    </w:p>
    <w:p w:rsidR="00000000" w:rsidRPr="00660816" w:rsidP="00660816">
      <w:pPr>
        <w:pStyle w:val="Heading1"/>
      </w:pPr>
      <w:bookmarkStart w:id="3" w:name="O_954561"/>
      <w:bookmarkEnd w:id="3"/>
      <w:r w:rsidRPr="00660816">
        <w:t>Knowledge Evidence</w:t>
      </w:r>
    </w:p>
    <w:p w:rsidR="00000000" w:rsidRPr="00660816" w:rsidP="0091438C">
      <w:pPr>
        <w:pStyle w:val="BodyText"/>
      </w:pPr>
      <w:r w:rsidRPr="00660816">
        <w:t>Eviden</w:t>
      </w:r>
      <w:r w:rsidRPr="00660816">
        <w:t>ce required to demonstrate the required knowledge for this unit must be relevant to and satisfy the requirements of the elements and performance criteria and include knowledge of:</w:t>
      </w:r>
    </w:p>
    <w:p w:rsidR="00000000" w:rsidRPr="00660816" w:rsidP="00660816">
      <w:pPr>
        <w:pStyle w:val="ListBullet"/>
      </w:pPr>
      <w:r w:rsidRPr="00660816">
        <w:t>safe work practices and procedures and use of personal protective equipment</w:t>
      </w:r>
      <w:r w:rsidRPr="00660816">
        <w:t xml:space="preserve"> (PPE)</w:t>
      </w:r>
    </w:p>
    <w:p w:rsidR="00000000" w:rsidRPr="00660816" w:rsidP="00660816">
      <w:pPr>
        <w:pStyle w:val="ListBullet"/>
      </w:pPr>
      <w:r w:rsidRPr="00660816">
        <w:t>reasons for selecting the chosen sequence of operations</w:t>
      </w:r>
    </w:p>
    <w:p w:rsidR="00000000" w:rsidRPr="00660816" w:rsidP="00660816">
      <w:pPr>
        <w:pStyle w:val="ListBullet"/>
      </w:pPr>
      <w:r w:rsidRPr="00660816">
        <w:t>methods of work holding</w:t>
      </w:r>
    </w:p>
    <w:p w:rsidR="00000000" w:rsidRPr="00660816" w:rsidP="00660816">
      <w:pPr>
        <w:pStyle w:val="ListBullet"/>
      </w:pPr>
      <w:r w:rsidRPr="00660816">
        <w:t>basic marking out techniques, including datum points/lines</w:t>
      </w:r>
    </w:p>
    <w:p w:rsidR="00000000" w:rsidRPr="00660816" w:rsidP="00660816">
      <w:pPr>
        <w:pStyle w:val="ListBullet"/>
      </w:pPr>
      <w:r w:rsidRPr="00660816">
        <w:t>benefits of using correctly sharpened cutting tools</w:t>
      </w:r>
    </w:p>
    <w:p w:rsidR="00000000" w:rsidRPr="00660816" w:rsidP="00660816">
      <w:pPr>
        <w:pStyle w:val="ListBullet"/>
      </w:pPr>
      <w:r w:rsidRPr="00660816">
        <w:t>machine operation</w:t>
      </w:r>
    </w:p>
    <w:p w:rsidR="00000000" w:rsidRPr="00660816" w:rsidP="00660816">
      <w:pPr>
        <w:pStyle w:val="ListBullet"/>
      </w:pPr>
      <w:r w:rsidRPr="00660816">
        <w:t>selection of feeds and speeds to SOPs</w:t>
      </w:r>
    </w:p>
    <w:p w:rsidR="00000000" w:rsidRPr="00660816" w:rsidP="00660816">
      <w:pPr>
        <w:pStyle w:val="ListBullet"/>
      </w:pPr>
      <w:r w:rsidRPr="00660816">
        <w:t>correct methods of mounting selected cutting tools to sops</w:t>
      </w:r>
    </w:p>
    <w:p w:rsidR="00000000" w:rsidRPr="00660816" w:rsidP="00660816">
      <w:pPr>
        <w:pStyle w:val="ListBullet"/>
      </w:pPr>
      <w:r w:rsidRPr="00660816">
        <w:t>safety issues with regard to correct clamping, guards and shields</w:t>
      </w:r>
    </w:p>
    <w:p w:rsidR="00000000" w:rsidRPr="00660816" w:rsidP="00660816">
      <w:pPr>
        <w:pStyle w:val="ListBullet"/>
      </w:pPr>
      <w:r w:rsidRPr="00660816">
        <w:t>tolerances and limits of size</w:t>
      </w:r>
    </w:p>
    <w:p w:rsidR="00000000" w:rsidRPr="00660816" w:rsidP="00660816">
      <w:pPr>
        <w:pStyle w:val="ListBullet"/>
      </w:pPr>
      <w:r w:rsidRPr="00660816">
        <w:t>situations indicating the need for machine adjustment, lubrication and cleaning</w:t>
      </w:r>
    </w:p>
    <w:p w:rsidR="00000000" w:rsidRPr="00660816" w:rsidP="00660816">
      <w:pPr>
        <w:pStyle w:val="ListBullet"/>
      </w:pPr>
      <w:r w:rsidRPr="00660816">
        <w:t>techniques, tools and</w:t>
      </w:r>
      <w:r w:rsidRPr="00660816">
        <w:t xml:space="preserve"> equipment to measure materials and machined components</w:t>
      </w:r>
    </w:p>
    <w:p w:rsidR="00000000" w:rsidRPr="00660816" w:rsidP="00660816">
      <w:pPr>
        <w:pStyle w:val="ListBullet"/>
      </w:pPr>
      <w:r w:rsidRPr="00660816">
        <w:t>types and features of industrial grinding wheels, including:</w:t>
      </w:r>
    </w:p>
    <w:p w:rsidR="00000000" w:rsidRPr="00660816" w:rsidP="00660816">
      <w:pPr>
        <w:pStyle w:val="ListBullet2"/>
      </w:pPr>
      <w:r w:rsidRPr="00660816">
        <w:t>international grinding wheel identification system</w:t>
      </w:r>
    </w:p>
    <w:p w:rsidR="00000000" w:rsidRPr="00660816" w:rsidP="00660816">
      <w:pPr>
        <w:pStyle w:val="ListBullet2"/>
      </w:pPr>
      <w:r w:rsidRPr="00660816">
        <w:t>grinding wheel make-up, including bonds and grits</w:t>
      </w:r>
    </w:p>
    <w:p w:rsidR="00000000" w:rsidRPr="00660816" w:rsidP="00660816">
      <w:pPr>
        <w:pStyle w:val="ListBullet2"/>
      </w:pPr>
      <w:r w:rsidRPr="00660816">
        <w:t>purpose and procedure for grinding wh</w:t>
      </w:r>
      <w:r w:rsidRPr="00660816">
        <w:t>eel trueing</w:t>
      </w:r>
    </w:p>
    <w:p w:rsidR="00000000" w:rsidRPr="00660816" w:rsidP="00660816">
      <w:pPr>
        <w:pStyle w:val="ListBullet2"/>
      </w:pPr>
      <w:r w:rsidRPr="00660816">
        <w:t>indicators of a need for grinding wheel dressing, including:</w:t>
      </w:r>
    </w:p>
    <w:p w:rsidR="00000000" w:rsidRPr="00660816" w:rsidP="00660816">
      <w:pPr>
        <w:pStyle w:val="ListBullet3"/>
      </w:pPr>
      <w:r w:rsidRPr="00660816">
        <w:t>wheel glazing</w:t>
      </w:r>
    </w:p>
    <w:p w:rsidR="00000000" w:rsidRPr="00660816" w:rsidP="00660816">
      <w:pPr>
        <w:pStyle w:val="ListBullet3"/>
      </w:pPr>
      <w:r w:rsidRPr="00660816">
        <w:t>wheel loading</w:t>
      </w:r>
    </w:p>
    <w:p w:rsidR="00000000" w:rsidRPr="00660816" w:rsidP="00660816">
      <w:pPr>
        <w:pStyle w:val="ListBullet3"/>
      </w:pPr>
      <w:r w:rsidRPr="00660816">
        <w:t>wheel dresses</w:t>
      </w:r>
    </w:p>
    <w:p w:rsidR="00000000" w:rsidRPr="00660816" w:rsidP="00660816">
      <w:pPr>
        <w:pStyle w:val="ListBullet3"/>
      </w:pPr>
      <w:r w:rsidRPr="00660816">
        <w:t>wheel drilling</w:t>
      </w:r>
    </w:p>
    <w:p w:rsidR="00000000" w:rsidRPr="00660816" w:rsidP="00660816">
      <w:pPr>
        <w:pStyle w:val="ListBullet"/>
      </w:pPr>
      <w:r w:rsidRPr="00660816">
        <w:t>difference between centred and centreless grinding</w:t>
      </w:r>
    </w:p>
    <w:p w:rsidR="00000000" w:rsidRPr="00660816" w:rsidP="00660816">
      <w:pPr>
        <w:pStyle w:val="ListBullet"/>
      </w:pPr>
      <w:r w:rsidRPr="00660816">
        <w:t>indicators of need for dressing, including:</w:t>
      </w:r>
    </w:p>
    <w:p w:rsidR="00000000" w:rsidRPr="00660816" w:rsidP="00660816">
      <w:pPr>
        <w:pStyle w:val="ListBullet2"/>
      </w:pPr>
      <w:r w:rsidRPr="00660816">
        <w:t>loading</w:t>
      </w:r>
    </w:p>
    <w:p w:rsidR="00000000" w:rsidRPr="00660816" w:rsidP="00660816">
      <w:pPr>
        <w:pStyle w:val="ListBullet2"/>
      </w:pPr>
      <w:r w:rsidRPr="00660816">
        <w:t>dulling</w:t>
      </w:r>
    </w:p>
    <w:p w:rsidR="00000000" w:rsidRPr="00660816" w:rsidP="00660816">
      <w:pPr>
        <w:pStyle w:val="ListBullet2"/>
      </w:pPr>
      <w:r w:rsidRPr="00660816">
        <w:t>glazing</w:t>
      </w:r>
    </w:p>
    <w:p w:rsidR="00000000" w:rsidRPr="00660816" w:rsidP="00660816">
      <w:pPr>
        <w:pStyle w:val="ListBullet2"/>
      </w:pPr>
      <w:r w:rsidRPr="00660816">
        <w:t>burn/thermal damage</w:t>
      </w:r>
    </w:p>
    <w:p w:rsidR="00000000" w:rsidRPr="00660816" w:rsidP="00660816">
      <w:pPr>
        <w:pStyle w:val="ListBullet2"/>
      </w:pPr>
      <w:r w:rsidRPr="00660816">
        <w:t>surface finish</w:t>
      </w:r>
    </w:p>
    <w:p w:rsidR="00000000" w:rsidRPr="00660816" w:rsidP="00660816">
      <w:pPr>
        <w:pStyle w:val="ListBullet"/>
      </w:pPr>
      <w:r w:rsidRPr="00660816">
        <w:t>grinding wheel storage and handling</w:t>
      </w:r>
    </w:p>
    <w:p w:rsidR="00000000" w:rsidRPr="00660816" w:rsidP="00660816">
      <w:pPr>
        <w:pStyle w:val="ListBullet"/>
      </w:pPr>
      <w:r w:rsidRPr="00660816">
        <w:t>wheel safety checking, including checks for:</w:t>
      </w:r>
    </w:p>
    <w:p w:rsidR="00000000" w:rsidRPr="00660816" w:rsidP="00660816">
      <w:pPr>
        <w:pStyle w:val="ListBullet2"/>
      </w:pPr>
      <w:r w:rsidRPr="00660816">
        <w:t>cracks</w:t>
      </w:r>
    </w:p>
    <w:p w:rsidR="00000000" w:rsidRPr="00660816" w:rsidP="00660816">
      <w:pPr>
        <w:pStyle w:val="ListBullet2"/>
      </w:pPr>
      <w:r w:rsidRPr="00660816">
        <w:t>defects, including holes, moisture and deterioration</w:t>
      </w:r>
    </w:p>
    <w:p w:rsidR="00000000" w:rsidRPr="00660816" w:rsidP="00660816">
      <w:pPr>
        <w:pStyle w:val="ListBullet"/>
      </w:pPr>
      <w:r w:rsidRPr="00660816">
        <w:t>grinding wheel blotters</w:t>
      </w:r>
    </w:p>
    <w:p w:rsidR="00000000" w:rsidRPr="00660816" w:rsidP="00660816">
      <w:pPr>
        <w:pStyle w:val="ListBullet"/>
      </w:pPr>
      <w:r w:rsidRPr="00660816">
        <w:t>typical range of industrial drills and classification</w:t>
      </w:r>
    </w:p>
    <w:p w:rsidR="00000000" w:rsidRPr="00660816" w:rsidP="00660816">
      <w:pPr>
        <w:pStyle w:val="ListBullet"/>
      </w:pPr>
      <w:r w:rsidRPr="00660816">
        <w:t>drilling machines</w:t>
      </w:r>
    </w:p>
    <w:p w:rsidR="00000000" w:rsidRPr="00660816" w:rsidP="00660816">
      <w:pPr>
        <w:pStyle w:val="ListBullet"/>
      </w:pPr>
      <w:r w:rsidRPr="00660816">
        <w:t>drill sharpening procedures</w:t>
      </w:r>
    </w:p>
    <w:p w:rsidR="00000000" w:rsidRPr="00660816" w:rsidP="00660816">
      <w:pPr>
        <w:pStyle w:val="ListBullet"/>
      </w:pPr>
      <w:r w:rsidRPr="00660816">
        <w:t>drill clamping arrangements</w:t>
      </w:r>
    </w:p>
    <w:p w:rsidR="00000000" w:rsidRPr="00660816" w:rsidP="00660816">
      <w:pPr>
        <w:pStyle w:val="ListBullet"/>
      </w:pPr>
      <w:r w:rsidRPr="00660816">
        <w:t>common reasons for machining failure, including:</w:t>
      </w:r>
    </w:p>
    <w:p w:rsidR="00000000" w:rsidRPr="00660816" w:rsidP="00660816">
      <w:pPr>
        <w:pStyle w:val="ListBullet2"/>
      </w:pPr>
      <w:r w:rsidRPr="00660816">
        <w:t>incorrect speed</w:t>
      </w:r>
    </w:p>
    <w:p w:rsidR="00000000" w:rsidRPr="00660816" w:rsidP="00660816">
      <w:pPr>
        <w:pStyle w:val="ListBullet2"/>
      </w:pPr>
      <w:r w:rsidRPr="00660816">
        <w:t>faulty positioning of work</w:t>
      </w:r>
    </w:p>
    <w:p w:rsidR="00000000" w:rsidRPr="00660816" w:rsidP="00660816">
      <w:pPr>
        <w:pStyle w:val="ListBullet2"/>
      </w:pPr>
      <w:r w:rsidRPr="00660816">
        <w:t>incorrect feed</w:t>
      </w:r>
    </w:p>
    <w:p w:rsidR="00000000" w:rsidRPr="00660816" w:rsidP="00660816">
      <w:pPr>
        <w:pStyle w:val="ListBullet2"/>
      </w:pPr>
      <w:r w:rsidRPr="00660816">
        <w:t>rotation</w:t>
      </w:r>
    </w:p>
    <w:p w:rsidR="00000000" w:rsidRPr="00660816" w:rsidP="00660816">
      <w:pPr>
        <w:pStyle w:val="ListBullet2"/>
      </w:pPr>
      <w:r w:rsidRPr="00660816">
        <w:t>incorrect coolant selection and positioning</w:t>
      </w:r>
    </w:p>
    <w:p w:rsidR="00000000" w:rsidRPr="00660816" w:rsidP="00660816">
      <w:pPr>
        <w:pStyle w:val="ListBullet"/>
      </w:pPr>
      <w:r w:rsidRPr="00660816">
        <w:t>tools, techniques and equipment for checking components for conformance to specifications and rectifying non-compliant components.</w:t>
      </w:r>
    </w:p>
    <w:p w:rsidR="00000000" w:rsidRPr="00660816" w:rsidP="00660816">
      <w:pPr>
        <w:pStyle w:val="AllowPageBreak"/>
      </w:pPr>
    </w:p>
    <w:p w:rsidR="00000000" w:rsidRPr="00660816" w:rsidP="00660816">
      <w:pPr>
        <w:pStyle w:val="Heading1"/>
      </w:pPr>
      <w:bookmarkStart w:id="4" w:name="O_954560"/>
      <w:bookmarkEnd w:id="4"/>
      <w:r w:rsidRPr="00660816">
        <w:t>Assessment Conditions</w:t>
      </w:r>
    </w:p>
    <w:p w:rsidR="00000000" w:rsidRPr="00660816" w:rsidP="00660816">
      <w:pPr>
        <w:pStyle w:val="ListBullet"/>
      </w:pPr>
      <w:r w:rsidRPr="00660816">
        <w:t>Assessors must:</w:t>
      </w:r>
    </w:p>
    <w:p w:rsidR="00000000" w:rsidRPr="00660816" w:rsidP="00660816">
      <w:pPr>
        <w:pStyle w:val="ListBullet2"/>
      </w:pPr>
      <w:r w:rsidRPr="00660816">
        <w:t>have vocational competency in performing production machining at lea</w:t>
      </w:r>
      <w:r w:rsidRPr="00660816">
        <w:t xml:space="preserve">st to the level being assessed with relevant industry knowledge and experience </w:t>
      </w:r>
    </w:p>
    <w:p w:rsidR="00000000" w:rsidRPr="00660816" w:rsidP="00660816">
      <w:pPr>
        <w:pStyle w:val="ListBullet2"/>
      </w:pPr>
      <w:r w:rsidRPr="00660816">
        <w:t xml:space="preserve">satisfy the assessor requirements in the </w:t>
      </w:r>
      <w:r w:rsidRPr="00660816">
        <w:rPr>
          <w:rStyle w:val="Emphasis"/>
        </w:rPr>
        <w:t xml:space="preserve">Standards for Registered Training Organisations 2015 </w:t>
      </w:r>
      <w:r w:rsidRPr="00660816">
        <w:t>or its replacement</w:t>
      </w:r>
      <w:r w:rsidRPr="00660816">
        <w:rPr>
          <w:rStyle w:val="Emphasis"/>
        </w:rPr>
        <w:t xml:space="preserve"> </w:t>
      </w:r>
      <w:r w:rsidRPr="00660816">
        <w:t xml:space="preserve">and comply with the </w:t>
      </w:r>
      <w:r w:rsidRPr="00660816">
        <w:rPr>
          <w:rStyle w:val="Emphasis"/>
        </w:rPr>
        <w:t xml:space="preserve">National Vocational Education and Training </w:t>
      </w:r>
      <w:r w:rsidRPr="00660816">
        <w:rPr>
          <w:rStyle w:val="Emphasis"/>
        </w:rPr>
        <w:t xml:space="preserve">Regulator Act 2011, </w:t>
      </w:r>
      <w:r w:rsidRPr="00660816">
        <w:t>its replacement</w:t>
      </w:r>
      <w:r w:rsidRPr="00660816">
        <w:rPr>
          <w:rStyle w:val="Emphasis"/>
        </w:rPr>
        <w:t xml:space="preserve"> </w:t>
      </w:r>
      <w:r w:rsidRPr="00660816">
        <w:t>or equivalent legislation covering VET regulation in a non-referring state/territory as the case requires</w:t>
      </w:r>
    </w:p>
    <w:p w:rsidR="00000000" w:rsidRPr="00660816" w:rsidP="00660816">
      <w:pPr>
        <w:pStyle w:val="ListBullet"/>
      </w:pPr>
      <w:r w:rsidRPr="00660816">
        <w:t>Where possible assessment must occur in operational workplace situations. Where this is not possible or where per</w:t>
      </w:r>
      <w:r w:rsidRPr="00660816">
        <w:t>sonal safety or environmental damage are limiting factors, assessment must occur in a sufficiently rigorous simulated environment that reflects realistic operational workplace conditions. This must cover all aspects of workplace performance, including envi</w:t>
      </w:r>
      <w:r w:rsidRPr="00660816">
        <w:t>ronment, task skills, task management skills, contingency management skills and job role environment skills</w:t>
      </w:r>
    </w:p>
    <w:p w:rsidR="00000000" w:rsidRPr="00660816" w:rsidP="00660816">
      <w:pPr>
        <w:pStyle w:val="ListBullet"/>
      </w:pPr>
      <w:r w:rsidRPr="00660816">
        <w:t>Conditions for assessment must include access to all tools, equipment, materials and documentation required, including relevant workplace procedures</w:t>
      </w:r>
      <w:r w:rsidRPr="00660816">
        <w:t>, product and manufacturing specifications</w:t>
      </w:r>
    </w:p>
    <w:p w:rsidR="00000000" w:rsidRPr="00660816" w:rsidP="00660816">
      <w:pPr>
        <w:pStyle w:val="ListBullet"/>
      </w:pPr>
      <w:r w:rsidRPr="00660816">
        <w:t>Assessment processes and techniques must be appropriate to the language, literacy and numeracy requirements of the work being performed and the needs of the candidate.</w:t>
      </w:r>
    </w:p>
    <w:p w:rsidR="00000000" w:rsidRPr="00660816" w:rsidP="00660816">
      <w:pPr>
        <w:pStyle w:val="AllowPageBreak"/>
      </w:pPr>
    </w:p>
    <w:p w:rsidR="00000000" w:rsidRPr="00660816" w:rsidP="00660816">
      <w:pPr>
        <w:pStyle w:val="Heading1"/>
      </w:pPr>
      <w:bookmarkStart w:id="5" w:name="O_954558"/>
      <w:bookmarkEnd w:id="5"/>
      <w:r w:rsidRPr="00660816">
        <w:t>Links</w:t>
      </w:r>
    </w:p>
    <w:p w:rsidR="00000000" w:rsidRPr="00660816" w:rsidP="0091438C">
      <w:pPr>
        <w:pStyle w:val="BodyText"/>
      </w:pPr>
      <w:r w:rsidRPr="006608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F7C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0816" w:rsidP="00660816"/>
    <w:sectPr w:rsidSect="00660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6" w:rsidRPr="0091438C" w:rsidP="00914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8C" w:rsidP="00660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38C" w:rsidP="00660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438C" w:rsidP="00660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816" w:rsidRPr="0091438C" w:rsidP="00914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8C" w:rsidRPr="002D2AF8" w:rsidP="00660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MEM07041 Perform production machining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438C" w:rsidP="00660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B49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C2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F67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816"/>
  </w:style>
  <w:style w:type="character" w:customStyle="1" w:styleId="Heading1Char">
    <w:name w:val="Heading 1 Char"/>
    <w:basedOn w:val="DefaultParagraphFont"/>
    <w:link w:val="Heading1"/>
    <w:rsid w:val="00660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8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8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816"/>
    <w:rPr>
      <w:i/>
    </w:rPr>
  </w:style>
  <w:style w:type="paragraph" w:customStyle="1" w:styleId="SuperHeading">
    <w:name w:val="SuperHeading"/>
    <w:basedOn w:val="Normal"/>
    <w:rsid w:val="00660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08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0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816"/>
    <w:rPr>
      <w:b/>
      <w:spacing w:val="0"/>
    </w:rPr>
  </w:style>
  <w:style w:type="paragraph" w:customStyle="1" w:styleId="SuperTitle">
    <w:name w:val="SuperTitle"/>
    <w:basedOn w:val="Title"/>
    <w:rsid w:val="00660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816"/>
  </w:style>
  <w:style w:type="paragraph" w:styleId="TableofFigures">
    <w:name w:val="table of figures"/>
    <w:basedOn w:val="Normal"/>
    <w:next w:val="Normal"/>
    <w:semiHidden/>
    <w:rsid w:val="00660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8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0816"/>
    <w:rPr>
      <w:rFonts w:ascii="Wingdings" w:hAnsi="Wingdings"/>
    </w:rPr>
  </w:style>
  <w:style w:type="paragraph" w:customStyle="1" w:styleId="TableHeading">
    <w:name w:val="Table Heading"/>
    <w:basedOn w:val="HeadingBase"/>
    <w:rsid w:val="00660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816"/>
    <w:rPr>
      <w:color w:val="0033CC"/>
      <w:u w:val="none"/>
    </w:rPr>
  </w:style>
  <w:style w:type="paragraph" w:customStyle="1" w:styleId="BodyTextRight">
    <w:name w:val="Body Text Right"/>
    <w:basedOn w:val="BodyText"/>
    <w:rsid w:val="00660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8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816"/>
    <w:rPr>
      <w:sz w:val="32"/>
    </w:rPr>
  </w:style>
  <w:style w:type="paragraph" w:customStyle="1" w:styleId="HeadingProcedure">
    <w:name w:val="Heading Procedure"/>
    <w:basedOn w:val="HeadingBase"/>
    <w:next w:val="Normal"/>
    <w:rsid w:val="00660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816"/>
    <w:pPr>
      <w:spacing w:before="60" w:after="60"/>
    </w:pPr>
  </w:style>
  <w:style w:type="paragraph" w:styleId="ListContinue">
    <w:name w:val="List Continue"/>
    <w:basedOn w:val="List"/>
    <w:rsid w:val="00660816"/>
    <w:pPr>
      <w:ind w:firstLine="0"/>
    </w:pPr>
  </w:style>
  <w:style w:type="paragraph" w:customStyle="1" w:styleId="ListNote">
    <w:name w:val="List Note"/>
    <w:basedOn w:val="List"/>
    <w:rsid w:val="00660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816"/>
    <w:rPr>
      <w:rFonts w:ascii="Courier New" w:hAnsi="Courier New"/>
    </w:rPr>
  </w:style>
  <w:style w:type="paragraph" w:customStyle="1" w:styleId="NoteBullet">
    <w:name w:val="Note Bullet"/>
    <w:basedOn w:val="Note"/>
    <w:rsid w:val="00660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8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816"/>
    <w:rPr>
      <w:b/>
      <w:smallCaps/>
    </w:rPr>
  </w:style>
  <w:style w:type="paragraph" w:customStyle="1" w:styleId="TableListNumber">
    <w:name w:val="Table List Number"/>
    <w:basedOn w:val="ListNumber"/>
    <w:rsid w:val="00660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816"/>
    <w:pPr>
      <w:numPr>
        <w:numId w:val="10"/>
      </w:numPr>
    </w:pPr>
  </w:style>
  <w:style w:type="paragraph" w:customStyle="1" w:styleId="ListAlpha2">
    <w:name w:val="List Alpha 2"/>
    <w:basedOn w:val="List2"/>
    <w:rsid w:val="00660816"/>
    <w:pPr>
      <w:numPr>
        <w:numId w:val="9"/>
      </w:numPr>
    </w:pPr>
  </w:style>
  <w:style w:type="paragraph" w:styleId="List2">
    <w:name w:val="List 2"/>
    <w:basedOn w:val="BodyText"/>
    <w:rsid w:val="00660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8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08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0816"/>
    <w:pPr>
      <w:numPr>
        <w:numId w:val="5"/>
      </w:numPr>
    </w:pPr>
  </w:style>
  <w:style w:type="paragraph" w:styleId="ListContinue2">
    <w:name w:val="List Continue 2"/>
    <w:basedOn w:val="List2"/>
    <w:rsid w:val="00660816"/>
    <w:pPr>
      <w:ind w:firstLine="0"/>
    </w:pPr>
  </w:style>
  <w:style w:type="paragraph" w:styleId="ListContinue3">
    <w:name w:val="List Continue 3"/>
    <w:basedOn w:val="List3"/>
    <w:rsid w:val="00660816"/>
    <w:pPr>
      <w:ind w:left="1021" w:firstLine="0"/>
    </w:pPr>
  </w:style>
  <w:style w:type="paragraph" w:styleId="ListContinue4">
    <w:name w:val="List Continue 4"/>
    <w:basedOn w:val="List4"/>
    <w:rsid w:val="00660816"/>
    <w:pPr>
      <w:ind w:firstLine="0"/>
    </w:pPr>
  </w:style>
  <w:style w:type="paragraph" w:styleId="ListContinue5">
    <w:name w:val="List Continue 5"/>
    <w:basedOn w:val="List5"/>
    <w:rsid w:val="00660816"/>
    <w:pPr>
      <w:ind w:firstLine="0"/>
    </w:pPr>
  </w:style>
  <w:style w:type="paragraph" w:styleId="ListNumber3">
    <w:name w:val="List Number 3"/>
    <w:basedOn w:val="List3"/>
    <w:rsid w:val="00660816"/>
    <w:pPr>
      <w:numPr>
        <w:numId w:val="6"/>
      </w:numPr>
    </w:pPr>
  </w:style>
  <w:style w:type="paragraph" w:styleId="ListNumber4">
    <w:name w:val="List Number 4"/>
    <w:basedOn w:val="List4"/>
    <w:rsid w:val="00660816"/>
    <w:pPr>
      <w:numPr>
        <w:numId w:val="7"/>
      </w:numPr>
    </w:pPr>
  </w:style>
  <w:style w:type="paragraph" w:styleId="ListNumber5">
    <w:name w:val="List Number 5"/>
    <w:basedOn w:val="List5"/>
    <w:rsid w:val="00660816"/>
    <w:pPr>
      <w:numPr>
        <w:numId w:val="8"/>
      </w:numPr>
    </w:pPr>
  </w:style>
  <w:style w:type="paragraph" w:styleId="BlockText">
    <w:name w:val="Block Text"/>
    <w:basedOn w:val="Normal"/>
    <w:rsid w:val="00660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816"/>
    <w:rPr>
      <w:sz w:val="16"/>
      <w:vertAlign w:val="superscript"/>
    </w:rPr>
  </w:style>
  <w:style w:type="character" w:customStyle="1" w:styleId="Symbols">
    <w:name w:val="Symbols"/>
    <w:basedOn w:val="DefaultParagraphFont"/>
    <w:rsid w:val="00660816"/>
    <w:rPr>
      <w:rFonts w:ascii="Symbol" w:hAnsi="Symbol"/>
    </w:rPr>
  </w:style>
  <w:style w:type="character" w:customStyle="1" w:styleId="MenuOptions">
    <w:name w:val="Menu Options"/>
    <w:basedOn w:val="DefaultParagraphFont"/>
    <w:rsid w:val="00660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816"/>
    <w:rPr>
      <w:b/>
    </w:rPr>
  </w:style>
  <w:style w:type="character" w:customStyle="1" w:styleId="Underlined">
    <w:name w:val="Underlined"/>
    <w:basedOn w:val="DefaultParagraphFont"/>
    <w:rsid w:val="00660816"/>
    <w:rPr>
      <w:u w:val="single"/>
    </w:rPr>
  </w:style>
  <w:style w:type="paragraph" w:customStyle="1" w:styleId="TableBodyTextRight">
    <w:name w:val="Table Body Text Right"/>
    <w:basedOn w:val="TableBodyText"/>
    <w:rsid w:val="00660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816"/>
    <w:rPr>
      <w:sz w:val="18"/>
    </w:rPr>
  </w:style>
  <w:style w:type="paragraph" w:customStyle="1" w:styleId="BodySmallRight">
    <w:name w:val="Body Small Right"/>
    <w:basedOn w:val="BodyTextRight"/>
    <w:rsid w:val="00660816"/>
    <w:rPr>
      <w:sz w:val="18"/>
      <w:szCs w:val="18"/>
    </w:rPr>
  </w:style>
  <w:style w:type="paragraph" w:customStyle="1" w:styleId="MarginEdition">
    <w:name w:val="Margin Edition"/>
    <w:basedOn w:val="MarginNote"/>
    <w:rsid w:val="00660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816"/>
    <w:rPr>
      <w:sz w:val="2"/>
      <w:szCs w:val="2"/>
    </w:rPr>
  </w:style>
  <w:style w:type="character" w:customStyle="1" w:styleId="Small">
    <w:name w:val="Small"/>
    <w:basedOn w:val="DefaultParagraphFont"/>
    <w:rsid w:val="00660816"/>
    <w:rPr>
      <w:sz w:val="16"/>
    </w:rPr>
  </w:style>
  <w:style w:type="paragraph" w:customStyle="1" w:styleId="WideTable">
    <w:name w:val="Wide Table"/>
    <w:basedOn w:val="Normal"/>
    <w:rsid w:val="00660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816"/>
  </w:style>
  <w:style w:type="paragraph" w:styleId="Quote">
    <w:name w:val="Quote"/>
    <w:basedOn w:val="Heading1"/>
    <w:link w:val="QuoteChar"/>
    <w:qFormat/>
    <w:rsid w:val="00660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816"/>
    <w:pPr>
      <w:pageBreakBefore/>
    </w:pPr>
  </w:style>
  <w:style w:type="paragraph" w:customStyle="1" w:styleId="Border">
    <w:name w:val="Border"/>
    <w:basedOn w:val="Normal"/>
    <w:qFormat/>
    <w:rsid w:val="00660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816"/>
    <w:rPr>
      <w:u w:val="single"/>
    </w:rPr>
  </w:style>
  <w:style w:type="character" w:customStyle="1" w:styleId="BoldandItalics">
    <w:name w:val="Bold and Italics"/>
    <w:qFormat/>
    <w:rsid w:val="00660816"/>
    <w:rPr>
      <w:b/>
      <w:i/>
      <w:u w:val="none"/>
    </w:rPr>
  </w:style>
  <w:style w:type="paragraph" w:styleId="BalloonText">
    <w:name w:val="Balloon Text"/>
    <w:basedOn w:val="Normal"/>
    <w:link w:val="BalloonTextChar"/>
    <w:rsid w:val="00660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816"/>
    <w:pPr>
      <w:spacing w:before="0" w:after="0"/>
    </w:pPr>
  </w:style>
  <w:style w:type="paragraph" w:customStyle="1" w:styleId="BodyTextBold">
    <w:name w:val="Body Text Bold"/>
    <w:basedOn w:val="BodyText"/>
    <w:qFormat/>
    <w:rsid w:val="00660816"/>
    <w:rPr>
      <w:b/>
    </w:rPr>
  </w:style>
  <w:style w:type="character" w:styleId="Hyperlink">
    <w:name w:val="Hyperlink"/>
    <w:basedOn w:val="DefaultParagraphFont"/>
    <w:uiPriority w:val="99"/>
    <w:unhideWhenUsed/>
    <w:rsid w:val="00914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4217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MEM07041 Perform production machining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