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CB6" w:rsidP="00070CB6">
      <w:pPr>
        <w:pStyle w:val="Title"/>
      </w:pPr>
      <w:r>
        <w:fldChar w:fldCharType="begin"/>
      </w:r>
      <w:r>
        <w:instrText xml:space="preserve"> TITLE   \* MERGEFORMAT </w:instrText>
      </w:r>
      <w:r>
        <w:fldChar w:fldCharType="separate"/>
      </w:r>
      <w:r>
        <w:t>MEM07025 Perform advanced machine and process operation</w:t>
      </w:r>
      <w:r>
        <w:fldChar w:fldCharType="end"/>
      </w:r>
    </w:p>
    <w:p w:rsidR="00070CB6" w:rsidP="00070CB6">
      <w:pPr>
        <w:pStyle w:val="Version"/>
        <w:sectPr w:rsidSect="00A02A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2A76" w:rsidP="00A02A76">
      <w:pPr>
        <w:pStyle w:val="SuperHeading"/>
      </w:pPr>
      <w:r w:rsidRPr="00A02A76">
        <w:t>MEM07025 Perform advanced machine and process operation</w:t>
      </w:r>
    </w:p>
    <w:p w:rsidR="00000000" w:rsidRPr="00A02A76" w:rsidP="00A02A76">
      <w:pPr>
        <w:pStyle w:val="Heading1"/>
      </w:pPr>
      <w:bookmarkStart w:id="1" w:name="O_954354"/>
      <w:bookmarkEnd w:id="1"/>
      <w:r w:rsidRPr="00A02A76">
        <w:t>Modification History</w:t>
      </w:r>
    </w:p>
    <w:p w:rsidR="00000000" w:rsidRPr="00A02A76" w:rsidP="00070CB6">
      <w:pPr>
        <w:pStyle w:val="BodyText"/>
      </w:pPr>
      <w:r w:rsidRPr="00A02A76">
        <w:t xml:space="preserve">Release 1. Supersedes and is equivalent to MEM07025B Perform advanced machine or process operation </w:t>
      </w:r>
    </w:p>
    <w:p w:rsidR="00000000" w:rsidRPr="00A02A76" w:rsidP="00A02A76">
      <w:pPr>
        <w:pStyle w:val="Heading1"/>
      </w:pPr>
      <w:bookmarkStart w:id="2" w:name="O_954362"/>
      <w:bookmarkEnd w:id="2"/>
      <w:r w:rsidRPr="00A02A76">
        <w:t>Application</w:t>
      </w:r>
    </w:p>
    <w:p w:rsidR="00000000" w:rsidRPr="00A02A76" w:rsidP="00070CB6">
      <w:pPr>
        <w:pStyle w:val="BodyText"/>
      </w:pPr>
      <w:r w:rsidRPr="00A02A76">
        <w:t>This unit of competency defines the skills and knowledge required to perform advanced oper</w:t>
      </w:r>
      <w:r w:rsidRPr="00A02A76">
        <w:t>ation and monitor a machine or process recognising and rectifying deviations and faults.</w:t>
      </w:r>
    </w:p>
    <w:p w:rsidR="00000000" w:rsidRPr="00A02A76" w:rsidP="00070CB6">
      <w:pPr>
        <w:pStyle w:val="BodyText"/>
      </w:pPr>
      <w:r w:rsidRPr="00A02A76">
        <w:t xml:space="preserve">It relates to where the output of the machine or process can be varied at the discretion of the operator and where recognition/rectification skills are applied based </w:t>
      </w:r>
      <w:r w:rsidRPr="00A02A76">
        <w:t xml:space="preserve">upon product/material/process knowledge to achieve specified outcomes. </w:t>
      </w:r>
    </w:p>
    <w:p w:rsidR="00000000" w:rsidRPr="00A02A76" w:rsidP="00070CB6">
      <w:pPr>
        <w:pStyle w:val="BodyText"/>
      </w:pPr>
      <w:r w:rsidRPr="00A02A76">
        <w:t>Where operational maintenance is required to be performed unit MEM07001 Perform operational maintenance of machines/equipment should also be selected.</w:t>
      </w:r>
    </w:p>
    <w:p w:rsidR="00000000" w:rsidRPr="00A02A76" w:rsidP="00070CB6">
      <w:pPr>
        <w:pStyle w:val="BodyText"/>
      </w:pPr>
      <w:r w:rsidRPr="00A02A76">
        <w:t>Where diagnosis and rectificati</w:t>
      </w:r>
      <w:r w:rsidRPr="00A02A76">
        <w:t>on of advanced plastic processes is required unit MEM07026 Perform advanced plastic processing should also be selected.</w:t>
      </w:r>
    </w:p>
    <w:p w:rsidR="00000000" w:rsidRPr="00A02A76" w:rsidP="00070CB6">
      <w:pPr>
        <w:pStyle w:val="BodyText"/>
      </w:pPr>
      <w:r w:rsidRPr="00A02A76">
        <w:t xml:space="preserve">Where diagnosis and rectification of advanced press operations is required unit MEM07027 Perform advanced press operations should also </w:t>
      </w:r>
      <w:r w:rsidRPr="00A02A76">
        <w:t>be selected.</w:t>
      </w:r>
    </w:p>
    <w:p w:rsidR="00000000" w:rsidRPr="00A02A76" w:rsidP="00070CB6">
      <w:pPr>
        <w:pStyle w:val="BodyText"/>
      </w:pPr>
      <w:r w:rsidRPr="00A02A76">
        <w:t>When production packaging and labelling of the finished goods or product is required unit MEM11006 Perform production packaging should also be selected.</w:t>
      </w:r>
    </w:p>
    <w:p w:rsidR="00000000" w:rsidRPr="00A02A76" w:rsidP="00070CB6">
      <w:pPr>
        <w:pStyle w:val="BodyText"/>
      </w:pPr>
      <w:r w:rsidRPr="00A02A76">
        <w:t>Where the selection and use of power tools/hand held operations is required unit MEM1800</w:t>
      </w:r>
      <w:r w:rsidRPr="00A02A76">
        <w:t>2 Use power tools/hand held operations should also be selected.</w:t>
      </w:r>
    </w:p>
    <w:p w:rsidR="00000000" w:rsidRPr="00A02A76" w:rsidP="00070CB6">
      <w:pPr>
        <w:pStyle w:val="BodyText"/>
      </w:pPr>
      <w:r w:rsidRPr="00A02A76">
        <w:t>No licensing, legislative or certification requirements apply to this unit at the time of publication.</w:t>
      </w:r>
    </w:p>
    <w:p w:rsidR="00000000" w:rsidRPr="00A02A76" w:rsidP="00A02A76">
      <w:pPr>
        <w:pStyle w:val="BodyText"/>
      </w:pPr>
      <w:r w:rsidRPr="00A02A76">
        <w:rPr>
          <w:rStyle w:val="SpecialBold"/>
        </w:rPr>
        <w:t>Band:</w:t>
      </w:r>
      <w:r w:rsidRPr="00A02A76">
        <w:rPr>
          <w:rStyle w:val="SpecialBold"/>
        </w:rPr>
        <w:tab/>
        <w:t>A</w:t>
      </w:r>
    </w:p>
    <w:p w:rsidR="00000000" w:rsidRPr="00A02A76" w:rsidP="00A02A76">
      <w:pPr>
        <w:pStyle w:val="BodyText"/>
      </w:pPr>
      <w:r w:rsidRPr="00A02A76">
        <w:rPr>
          <w:rStyle w:val="SpecialBold"/>
        </w:rPr>
        <w:t>Unit Weight:</w:t>
      </w:r>
      <w:r w:rsidRPr="00A02A76">
        <w:rPr>
          <w:rStyle w:val="SpecialBold"/>
        </w:rPr>
        <w:tab/>
        <w:t>6</w:t>
      </w:r>
    </w:p>
    <w:p w:rsidR="00000000" w:rsidRPr="00A02A76" w:rsidP="00A02A76">
      <w:pPr>
        <w:pStyle w:val="AllowPageBreak"/>
      </w:pPr>
    </w:p>
    <w:p w:rsidR="00000000" w:rsidRPr="00A02A76" w:rsidP="00A02A76">
      <w:pPr>
        <w:pStyle w:val="Heading1"/>
      </w:pPr>
      <w:bookmarkStart w:id="3" w:name="O_954361"/>
      <w:bookmarkEnd w:id="3"/>
      <w:r w:rsidRPr="00A02A76">
        <w:t>Pre-requisite Unit</w:t>
      </w:r>
    </w:p>
    <w:tbl>
      <w:tblPr>
        <w:tblW w:w="0" w:type="auto"/>
        <w:tblLayout w:type="fixed"/>
        <w:tblCellMar>
          <w:left w:w="62" w:type="dxa"/>
          <w:right w:w="62" w:type="dxa"/>
        </w:tblCellMar>
        <w:tblLook w:val="0000"/>
      </w:tblPr>
      <w:tblGrid>
        <w:gridCol w:w="2186"/>
        <w:gridCol w:w="6886"/>
      </w:tblGrid>
      <w:tr w:rsidTr="00A02A7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MEM07024</w:t>
            </w:r>
          </w:p>
        </w:tc>
        <w:tc>
          <w:tcPr>
            <w:tcW w:w="6886"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Operate and monitor</w:t>
            </w:r>
            <w:r w:rsidRPr="00A02A76">
              <w:t xml:space="preserve"> machine and process</w:t>
            </w:r>
          </w:p>
        </w:tc>
      </w:tr>
      <w:tr w:rsidTr="00A02A7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MEM09002</w:t>
            </w:r>
          </w:p>
        </w:tc>
        <w:tc>
          <w:tcPr>
            <w:tcW w:w="6886"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Interpret technical drawing</w:t>
            </w:r>
          </w:p>
        </w:tc>
      </w:tr>
      <w:tr w:rsidTr="00A02A7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MEM11011</w:t>
            </w:r>
          </w:p>
        </w:tc>
        <w:tc>
          <w:tcPr>
            <w:tcW w:w="6886"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Undertake manual handling</w:t>
            </w:r>
          </w:p>
        </w:tc>
      </w:tr>
      <w:tr w:rsidTr="00A02A7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MEM12023</w:t>
            </w:r>
          </w:p>
        </w:tc>
        <w:tc>
          <w:tcPr>
            <w:tcW w:w="6886"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Perform engineering measurements</w:t>
            </w:r>
          </w:p>
        </w:tc>
      </w:tr>
      <w:tr w:rsidTr="00A02A7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MEM13015</w:t>
            </w:r>
          </w:p>
        </w:tc>
        <w:tc>
          <w:tcPr>
            <w:tcW w:w="6886"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Work safely and effectively in manufacturing and engineering</w:t>
            </w:r>
          </w:p>
        </w:tc>
      </w:tr>
      <w:tr w:rsidTr="00A02A7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MEM16006</w:t>
            </w:r>
          </w:p>
        </w:tc>
        <w:tc>
          <w:tcPr>
            <w:tcW w:w="6886"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Organise and communicate information</w:t>
            </w:r>
          </w:p>
        </w:tc>
      </w:tr>
      <w:tr w:rsidTr="00A02A76">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MEM18001</w:t>
            </w:r>
          </w:p>
        </w:tc>
        <w:tc>
          <w:tcPr>
            <w:tcW w:w="6886" w:type="dxa"/>
            <w:tcBorders>
              <w:top w:val="nil"/>
              <w:left w:val="nil"/>
              <w:bottom w:val="nil"/>
              <w:right w:val="nil"/>
            </w:tcBorders>
            <w:tcMar>
              <w:top w:w="0" w:type="dxa"/>
              <w:left w:w="62" w:type="dxa"/>
              <w:bottom w:w="0" w:type="dxa"/>
              <w:right w:w="62" w:type="dxa"/>
            </w:tcMar>
          </w:tcPr>
          <w:p w:rsidR="00000000" w:rsidRPr="00A02A76" w:rsidP="00A02A76">
            <w:pPr>
              <w:pStyle w:val="BodyText"/>
            </w:pPr>
            <w:r w:rsidRPr="00A02A76">
              <w:t>Use hand tools</w:t>
            </w:r>
          </w:p>
        </w:tc>
      </w:tr>
    </w:tbl>
    <w:p w:rsidR="00000000" w:rsidRPr="00A02A76" w:rsidP="00A02A76">
      <w:pPr>
        <w:pStyle w:val="BodyText"/>
      </w:pPr>
    </w:p>
    <w:p w:rsidR="00000000" w:rsidRPr="00A02A76" w:rsidP="00A02A76">
      <w:pPr>
        <w:pStyle w:val="AllowPageBreak"/>
      </w:pPr>
    </w:p>
    <w:p w:rsidR="00000000" w:rsidRPr="00A02A76" w:rsidP="00A02A76">
      <w:pPr>
        <w:pStyle w:val="Heading1"/>
      </w:pPr>
      <w:bookmarkStart w:id="4" w:name="O_954360"/>
      <w:bookmarkEnd w:id="4"/>
      <w:r w:rsidRPr="00A02A76">
        <w:t>Competency Field</w:t>
      </w:r>
    </w:p>
    <w:p w:rsidR="00000000" w:rsidRPr="00A02A76" w:rsidP="00070CB6">
      <w:pPr>
        <w:pStyle w:val="BodyText"/>
      </w:pPr>
      <w:r w:rsidRPr="00A02A76">
        <w:t>Machine and process operations</w:t>
      </w:r>
    </w:p>
    <w:p w:rsidR="00000000" w:rsidRPr="00A02A76" w:rsidP="00A02A76">
      <w:pPr>
        <w:pStyle w:val="Heading1"/>
      </w:pPr>
      <w:bookmarkStart w:id="5" w:name="O_954358"/>
      <w:bookmarkEnd w:id="5"/>
      <w:r w:rsidRPr="00A02A76">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A02A76">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Performance criteria describe the performance needed to demonstrate achievement of the element.</w:t>
            </w: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02A76" w:rsidP="00A02A76">
            <w:pPr>
              <w:pStyle w:val="BodyText"/>
            </w:pPr>
            <w:r w:rsidRPr="00A02A76">
              <w:t>1</w:t>
            </w:r>
          </w:p>
        </w:tc>
        <w:tc>
          <w:tcPr>
            <w:tcW w:w="1986" w:type="dxa"/>
            <w:vMerge w:val="restart"/>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1.1</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Follow standard operating procedures (SOPs)</w:t>
            </w: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1.2</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Comply with work health and safety (WHS) requirements at all times</w:t>
            </w: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1.3</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Use appropriate personal protective equipment (PPE) in accordance with SOPs</w:t>
            </w: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1.4</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Identify job requirements from specifications, drawings, job sheets or work instructions, including machine or process selection and settings</w:t>
            </w:r>
          </w:p>
        </w:tc>
      </w:tr>
      <w:tr w:rsidTr="00A02A7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02A76">
            <w:pPr>
              <w:pStyle w:val="BodyText"/>
              <w:rPr>
                <w:lang w:val="en-NZ"/>
              </w:rPr>
            </w:pP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02A76" w:rsidP="00A02A76">
            <w:pPr>
              <w:pStyle w:val="BodyText"/>
            </w:pPr>
            <w:r w:rsidRPr="00A02A76">
              <w:t>2</w:t>
            </w:r>
          </w:p>
        </w:tc>
        <w:tc>
          <w:tcPr>
            <w:tcW w:w="1986" w:type="dxa"/>
            <w:vMerge w:val="restart"/>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rPr>
                <w:rStyle w:val="SpecialBold"/>
              </w:rPr>
              <w:t>Conduct pre-start checks</w:t>
            </w: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2.1</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Check safety equipment and guards for correct position and operation</w:t>
            </w: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2.2</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Undertake programmed operational maintenance according to procedures</w:t>
            </w: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2.3</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Undertake pre-start checks to SOPs</w:t>
            </w: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2.4</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Verify equipment, raw material and tooling to match task requirement</w:t>
            </w:r>
          </w:p>
        </w:tc>
      </w:tr>
      <w:tr w:rsidTr="00A02A7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02A76">
            <w:pPr>
              <w:pStyle w:val="BodyText"/>
              <w:rPr>
                <w:lang w:val="en-NZ"/>
              </w:rPr>
            </w:pP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02A76" w:rsidP="00A02A76">
            <w:pPr>
              <w:pStyle w:val="BodyText"/>
            </w:pPr>
            <w:r w:rsidRPr="00A02A76">
              <w:t>3</w:t>
            </w:r>
          </w:p>
        </w:tc>
        <w:tc>
          <w:tcPr>
            <w:tcW w:w="1986" w:type="dxa"/>
            <w:vMerge w:val="restart"/>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rPr>
                <w:rStyle w:val="SpecialBold"/>
              </w:rPr>
              <w:t>Operate machine or process</w:t>
            </w: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3.1</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Start up machine or process in accordance with SOPs</w:t>
            </w: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3.2</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 xml:space="preserve">Operate machine or process in accordance with job instructions </w:t>
            </w: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3.3</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Load components/feed stock and maintain consistent with production requirements</w:t>
            </w: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3.4</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 xml:space="preserve">Unload machine or process output using appropriate manual handling techniques </w:t>
            </w: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3.5</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 xml:space="preserve">Handle machine or process output and store in a manner not likely to cause damage </w:t>
            </w: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3.6</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Record production data to SOPs</w:t>
            </w:r>
          </w:p>
        </w:tc>
      </w:tr>
      <w:tr w:rsidTr="00A02A7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02A76">
            <w:pPr>
              <w:pStyle w:val="BodyText"/>
              <w:rPr>
                <w:lang w:val="en-NZ"/>
              </w:rPr>
            </w:pP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02A76" w:rsidP="00A02A76">
            <w:pPr>
              <w:pStyle w:val="BodyText"/>
            </w:pPr>
            <w:r w:rsidRPr="00A02A76">
              <w:t>4</w:t>
            </w:r>
          </w:p>
        </w:tc>
        <w:tc>
          <w:tcPr>
            <w:tcW w:w="1986" w:type="dxa"/>
            <w:vMerge w:val="restart"/>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rPr>
                <w:rStyle w:val="SpecialBold"/>
              </w:rPr>
              <w:t>Monitor machine or process</w:t>
            </w: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4.1</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Monitor machine or process for safe and correct operation</w:t>
            </w: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4.2</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Follow emergency procedures in accordance with SOPs</w:t>
            </w:r>
          </w:p>
        </w:tc>
      </w:tr>
      <w:tr w:rsidTr="00A02A7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02A76">
            <w:pPr>
              <w:pStyle w:val="BodyText"/>
              <w:rPr>
                <w:lang w:val="en-NZ"/>
              </w:rPr>
            </w:pPr>
          </w:p>
        </w:tc>
      </w:tr>
      <w:tr w:rsidTr="00A02A7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02A76" w:rsidP="00A02A76">
            <w:pPr>
              <w:pStyle w:val="BodyText"/>
            </w:pPr>
            <w:r w:rsidRPr="00A02A76">
              <w:t>5</w:t>
            </w:r>
          </w:p>
        </w:tc>
        <w:tc>
          <w:tcPr>
            <w:tcW w:w="1986" w:type="dxa"/>
            <w:vMerge w:val="restart"/>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rPr>
                <w:rStyle w:val="SpecialBold"/>
              </w:rPr>
              <w:t>Recognise and rectify deviations and faults in raw material, product, process and equipment</w:t>
            </w: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5.1</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Recognise faults/deviations from standard operating procedures, job sheets or other documentation</w:t>
            </w:r>
          </w:p>
        </w:tc>
      </w:tr>
      <w:tr w:rsidTr="00A02A76">
        <w:tblPrEx>
          <w:tblW w:w="0" w:type="auto"/>
          <w:tblLayout w:type="fixed"/>
          <w:tblCellMar>
            <w:left w:w="62" w:type="dxa"/>
            <w:right w:w="62" w:type="dxa"/>
          </w:tblCellMar>
          <w:tblLook w:val="0000"/>
        </w:tblPrEx>
        <w:trPr>
          <w:trHeight w:val="465"/>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5.2</w:t>
            </w:r>
          </w:p>
        </w:tc>
        <w:tc>
          <w:tcPr>
            <w:tcW w:w="5678"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 xml:space="preserve">Rectify faults/deviations in accordance with SOPs, job sheets or other documentation </w:t>
            </w:r>
          </w:p>
        </w:tc>
      </w:tr>
      <w:tr w:rsidTr="00A02A76">
        <w:tblPrEx>
          <w:tblW w:w="0" w:type="auto"/>
          <w:tblLayout w:type="fixed"/>
          <w:tblCellMar>
            <w:left w:w="62" w:type="dxa"/>
            <w:right w:w="62" w:type="dxa"/>
          </w:tblCellMar>
          <w:tblLook w:val="0000"/>
        </w:tblPrEx>
        <w:trPr>
          <w:trHeight w:val="465"/>
        </w:trPr>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5.3</w:t>
            </w:r>
          </w:p>
        </w:tc>
        <w:tc>
          <w:tcPr>
            <w:tcW w:w="5678" w:type="dxa"/>
            <w:tcBorders>
              <w:top w:val="nil"/>
              <w:left w:val="nil"/>
              <w:bottom w:val="nil"/>
              <w:right w:val="nil"/>
            </w:tcBorders>
            <w:tcMar>
              <w:top w:w="0" w:type="dxa"/>
              <w:left w:w="62" w:type="dxa"/>
              <w:bottom w:w="0" w:type="dxa"/>
              <w:right w:w="62" w:type="dxa"/>
            </w:tcMar>
          </w:tcPr>
          <w:p w:rsidR="00000000" w:rsidRPr="00A02A76" w:rsidP="00A02A76">
            <w:pPr>
              <w:pStyle w:val="BodyText"/>
            </w:pPr>
            <w:r w:rsidRPr="00A02A76">
              <w:t>Adjust machine or process settings within parameters, as required</w:t>
            </w:r>
          </w:p>
        </w:tc>
      </w:tr>
    </w:tbl>
    <w:p w:rsidR="00000000" w:rsidRPr="00A02A76" w:rsidP="00A02A76">
      <w:pPr>
        <w:pStyle w:val="BodyText"/>
      </w:pPr>
    </w:p>
    <w:p w:rsidR="00000000" w:rsidRPr="00A02A76" w:rsidP="00A02A76">
      <w:pPr>
        <w:pStyle w:val="AllowPageBreak"/>
      </w:pPr>
    </w:p>
    <w:p w:rsidR="00000000" w:rsidRPr="00A02A76" w:rsidP="00A02A76">
      <w:pPr>
        <w:pStyle w:val="Heading1"/>
      </w:pPr>
      <w:bookmarkStart w:id="6" w:name="O_954357"/>
      <w:bookmarkEnd w:id="6"/>
      <w:r w:rsidRPr="00A02A76">
        <w:t>Foundation Skills</w:t>
      </w:r>
    </w:p>
    <w:p w:rsidR="00000000" w:rsidRPr="00A02A76" w:rsidP="00070CB6">
      <w:pPr>
        <w:pStyle w:val="BodyText"/>
      </w:pPr>
      <w:r w:rsidRPr="00A02A76">
        <w:t>This section describes those required skills (reading, writi</w:t>
      </w:r>
      <w:r w:rsidRPr="00A02A76">
        <w:t xml:space="preserve">ng, oral communication and numeracy) that are essential to workplace performance in this unit of competency.  </w:t>
      </w:r>
    </w:p>
    <w:p w:rsidR="00000000" w:rsidRPr="00A02A76" w:rsidP="00070CB6">
      <w:pPr>
        <w:pStyle w:val="BodyText"/>
      </w:pPr>
      <w:r w:rsidRPr="00A02A76">
        <w:t>Foundation skills essential to performance are explicit in the performance criteria of this unit of competency.</w:t>
      </w:r>
    </w:p>
    <w:p w:rsidR="00000000" w:rsidRPr="00A02A76" w:rsidP="00A02A76">
      <w:pPr>
        <w:pStyle w:val="Heading1"/>
      </w:pPr>
      <w:bookmarkStart w:id="7" w:name="O_954356"/>
      <w:bookmarkEnd w:id="7"/>
      <w:r w:rsidRPr="00A02A76">
        <w:t>Range of Conditions</w:t>
      </w:r>
    </w:p>
    <w:tbl>
      <w:tblPr>
        <w:tblW w:w="9286" w:type="dxa"/>
        <w:tblLayout w:type="fixed"/>
        <w:tblCellMar>
          <w:left w:w="62" w:type="dxa"/>
          <w:right w:w="62" w:type="dxa"/>
        </w:tblCellMar>
        <w:tblLook w:val="0000"/>
      </w:tblPr>
      <w:tblGrid>
        <w:gridCol w:w="2582"/>
        <w:gridCol w:w="6704"/>
      </w:tblGrid>
      <w:tr w:rsidTr="00A02A76">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t>This field allows for different work environments and conditions that may affect performance. Essential operating conditions that may be present (depending on the work situation, accessibility of the item, and local industry and regiona</w:t>
            </w:r>
            <w:r w:rsidRPr="00A02A76">
              <w:t>l contexts) are included.</w:t>
            </w:r>
          </w:p>
        </w:tc>
      </w:tr>
      <w:tr w:rsidTr="00A02A76">
        <w:tblPrEx>
          <w:tblW w:w="9286" w:type="dxa"/>
          <w:tblLayout w:type="fixed"/>
          <w:tblCellMar>
            <w:left w:w="62" w:type="dxa"/>
            <w:right w:w="62" w:type="dxa"/>
          </w:tblCellMar>
          <w:tblLook w:val="0000"/>
        </w:tblPrEx>
        <w:trPr>
          <w:trHeight w:val="305"/>
        </w:trPr>
        <w:tc>
          <w:tcPr>
            <w:tcW w:w="2582"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rPr>
                <w:rStyle w:val="SpecialBold"/>
              </w:rPr>
              <w:t>Machine/process uses include one (1) or more of the following:</w:t>
            </w:r>
          </w:p>
        </w:tc>
        <w:tc>
          <w:tcPr>
            <w:tcW w:w="6704" w:type="dxa"/>
            <w:tcBorders>
              <w:top w:val="nil"/>
              <w:left w:val="nil"/>
              <w:bottom w:val="nil"/>
              <w:right w:val="nil"/>
            </w:tcBorders>
            <w:tcMar>
              <w:top w:w="0" w:type="dxa"/>
              <w:left w:w="62" w:type="dxa"/>
              <w:bottom w:w="0" w:type="dxa"/>
              <w:right w:w="62" w:type="dxa"/>
            </w:tcMar>
          </w:tcPr>
          <w:p w:rsidR="00000000" w:rsidRPr="00A02A76" w:rsidP="00A02A76">
            <w:pPr>
              <w:pStyle w:val="ListBullet"/>
            </w:pPr>
            <w:r w:rsidRPr="00A02A76">
              <w:t>pressing</w:t>
            </w:r>
          </w:p>
          <w:p w:rsidR="00000000" w:rsidRPr="00A02A76" w:rsidP="00A02A76">
            <w:pPr>
              <w:pStyle w:val="ListBullet"/>
            </w:pPr>
            <w:r w:rsidRPr="00A02A76">
              <w:t>punching</w:t>
            </w:r>
          </w:p>
          <w:p w:rsidR="00000000" w:rsidRPr="00A02A76" w:rsidP="00A02A76">
            <w:pPr>
              <w:pStyle w:val="ListBullet"/>
            </w:pPr>
            <w:r w:rsidRPr="00A02A76">
              <w:t>plastic moulding</w:t>
            </w:r>
          </w:p>
          <w:p w:rsidR="00000000" w:rsidRPr="00A02A76" w:rsidP="00A02A76">
            <w:pPr>
              <w:pStyle w:val="ListBullet"/>
            </w:pPr>
            <w:r w:rsidRPr="00A02A76">
              <w:t>extruding</w:t>
            </w:r>
          </w:p>
          <w:p w:rsidR="00000000" w:rsidRPr="00A02A76" w:rsidP="00A02A76">
            <w:pPr>
              <w:pStyle w:val="ListBullet"/>
            </w:pPr>
            <w:r w:rsidRPr="00A02A76">
              <w:t>bending</w:t>
            </w:r>
          </w:p>
          <w:p w:rsidR="00000000" w:rsidRPr="00A02A76" w:rsidP="00A02A76">
            <w:pPr>
              <w:pStyle w:val="ListBullet"/>
            </w:pPr>
            <w:r w:rsidRPr="00A02A76">
              <w:t>joining</w:t>
            </w:r>
          </w:p>
          <w:p w:rsidR="00000000" w:rsidRPr="00A02A76" w:rsidP="00A02A76">
            <w:pPr>
              <w:pStyle w:val="ListBullet"/>
            </w:pPr>
            <w:r w:rsidRPr="00A02A76">
              <w:t>rolling</w:t>
            </w:r>
          </w:p>
          <w:p w:rsidR="00000000" w:rsidRPr="00A02A76" w:rsidP="00A02A76">
            <w:pPr>
              <w:pStyle w:val="ListBullet"/>
            </w:pPr>
            <w:r w:rsidRPr="00A02A76">
              <w:t>forming</w:t>
            </w:r>
          </w:p>
          <w:p w:rsidR="00000000" w:rsidRPr="00A02A76" w:rsidP="00A02A76">
            <w:pPr>
              <w:pStyle w:val="ListBullet"/>
            </w:pPr>
            <w:r w:rsidRPr="00A02A76">
              <w:t>drawing</w:t>
            </w:r>
          </w:p>
          <w:p w:rsidR="00000000" w:rsidRPr="00A02A76" w:rsidP="00A02A76">
            <w:pPr>
              <w:pStyle w:val="ListBullet"/>
            </w:pPr>
            <w:r w:rsidRPr="00A02A76">
              <w:t>metal removal</w:t>
            </w:r>
          </w:p>
          <w:p w:rsidR="00000000" w:rsidRPr="00A02A76" w:rsidP="00A02A76">
            <w:pPr>
              <w:pStyle w:val="ListBullet"/>
            </w:pPr>
            <w:r w:rsidRPr="00A02A76">
              <w:t>pickling</w:t>
            </w:r>
          </w:p>
          <w:p w:rsidR="00000000" w:rsidRPr="00A02A76" w:rsidP="00A02A76">
            <w:pPr>
              <w:pStyle w:val="ListBullet"/>
            </w:pPr>
            <w:r w:rsidRPr="00A02A76">
              <w:t>cylinder filling</w:t>
            </w:r>
          </w:p>
          <w:p w:rsidR="00000000" w:rsidRPr="00A02A76" w:rsidP="00A02A76">
            <w:pPr>
              <w:pStyle w:val="ListBullet"/>
            </w:pPr>
            <w:r w:rsidRPr="00A02A76">
              <w:t>printing</w:t>
            </w:r>
          </w:p>
          <w:p w:rsidR="00000000" w:rsidRPr="00A02A76" w:rsidP="00A02A76">
            <w:pPr>
              <w:pStyle w:val="ListBullet"/>
            </w:pPr>
            <w:r w:rsidRPr="00A02A76">
              <w:t xml:space="preserve">painting </w:t>
            </w:r>
          </w:p>
          <w:p w:rsidR="00000000" w:rsidP="00A02A76">
            <w:pPr>
              <w:pStyle w:val="BodyText"/>
              <w:rPr>
                <w:lang w:val="en-NZ"/>
              </w:rPr>
            </w:pPr>
          </w:p>
        </w:tc>
      </w:tr>
      <w:tr w:rsidTr="00A02A76">
        <w:tblPrEx>
          <w:tblW w:w="9286" w:type="dxa"/>
          <w:tblLayout w:type="fixed"/>
          <w:tblCellMar>
            <w:left w:w="62" w:type="dxa"/>
            <w:right w:w="62" w:type="dxa"/>
          </w:tblCellMar>
          <w:tblLook w:val="0000"/>
        </w:tblPrEx>
        <w:trPr>
          <w:trHeight w:val="305"/>
        </w:trPr>
        <w:tc>
          <w:tcPr>
            <w:tcW w:w="2582" w:type="dxa"/>
            <w:tcBorders>
              <w:top w:val="nil"/>
              <w:left w:val="nil"/>
              <w:bottom w:val="nil"/>
              <w:right w:val="nil"/>
            </w:tcBorders>
            <w:tcMar>
              <w:top w:w="0" w:type="dxa"/>
              <w:left w:w="62" w:type="dxa"/>
              <w:bottom w:w="0" w:type="dxa"/>
              <w:right w:w="62" w:type="dxa"/>
            </w:tcMar>
          </w:tcPr>
          <w:p w:rsidR="00000000" w:rsidP="00A02A76">
            <w:pPr>
              <w:pStyle w:val="BodyText"/>
              <w:rPr>
                <w:lang w:val="en-NZ"/>
              </w:rPr>
            </w:pPr>
            <w:r w:rsidRPr="00A02A76">
              <w:rPr>
                <w:rStyle w:val="SpecialBold"/>
              </w:rPr>
              <w:t>Faults/deviations include one (1) or more of the following:</w:t>
            </w:r>
          </w:p>
        </w:tc>
        <w:tc>
          <w:tcPr>
            <w:tcW w:w="6704" w:type="dxa"/>
            <w:tcBorders>
              <w:top w:val="nil"/>
              <w:left w:val="nil"/>
              <w:bottom w:val="nil"/>
              <w:right w:val="nil"/>
            </w:tcBorders>
            <w:tcMar>
              <w:top w:w="0" w:type="dxa"/>
              <w:left w:w="62" w:type="dxa"/>
              <w:bottom w:w="0" w:type="dxa"/>
              <w:right w:w="62" w:type="dxa"/>
            </w:tcMar>
          </w:tcPr>
          <w:p w:rsidR="00000000" w:rsidRPr="00A02A76" w:rsidP="00A02A76">
            <w:pPr>
              <w:pStyle w:val="ListBullet"/>
            </w:pPr>
            <w:r w:rsidRPr="00A02A76">
              <w:t>product/output</w:t>
            </w:r>
          </w:p>
          <w:p w:rsidR="00000000" w:rsidRPr="00A02A76" w:rsidP="00A02A76">
            <w:pPr>
              <w:pStyle w:val="ListBullet"/>
            </w:pPr>
            <w:r w:rsidRPr="00A02A76">
              <w:t>machine</w:t>
            </w:r>
          </w:p>
          <w:p w:rsidR="00000000" w:rsidRPr="00A02A76" w:rsidP="00A02A76">
            <w:pPr>
              <w:pStyle w:val="ListBullet"/>
            </w:pPr>
            <w:r w:rsidRPr="00A02A76">
              <w:t>raw material or feed stock</w:t>
            </w:r>
          </w:p>
          <w:p w:rsidR="00000000" w:rsidRPr="00A02A76" w:rsidP="00A02A76">
            <w:pPr>
              <w:pStyle w:val="ListBullet"/>
            </w:pPr>
            <w:r w:rsidRPr="00A02A76">
              <w:t>tooling</w:t>
            </w:r>
          </w:p>
          <w:p w:rsidR="00000000" w:rsidRPr="00A02A76" w:rsidP="00A02A76">
            <w:pPr>
              <w:pStyle w:val="ListBullet"/>
            </w:pPr>
            <w:r w:rsidRPr="00A02A76">
              <w:t xml:space="preserve">process equipment </w:t>
            </w:r>
          </w:p>
          <w:p w:rsidR="00000000" w:rsidRPr="00A02A76" w:rsidP="00A02A76">
            <w:pPr>
              <w:pStyle w:val="ListBullet"/>
            </w:pPr>
            <w:r w:rsidRPr="00A02A76">
              <w:t>process</w:t>
            </w:r>
          </w:p>
          <w:p w:rsidR="00000000" w:rsidRPr="00A02A76" w:rsidP="00A02A76">
            <w:pPr>
              <w:pStyle w:val="BodyText"/>
            </w:pPr>
          </w:p>
        </w:tc>
      </w:tr>
    </w:tbl>
    <w:p w:rsidR="00000000" w:rsidRPr="00A02A76" w:rsidP="00A02A76">
      <w:pPr>
        <w:pStyle w:val="BodyText"/>
      </w:pPr>
    </w:p>
    <w:p w:rsidR="00000000" w:rsidRPr="00A02A76" w:rsidP="00A02A76">
      <w:pPr>
        <w:pStyle w:val="AllowPageBreak"/>
      </w:pPr>
    </w:p>
    <w:p w:rsidR="00000000" w:rsidRPr="00A02A76" w:rsidP="00A02A76">
      <w:pPr>
        <w:pStyle w:val="Heading1"/>
      </w:pPr>
      <w:bookmarkStart w:id="8" w:name="O_954355"/>
      <w:bookmarkEnd w:id="8"/>
      <w:r w:rsidRPr="00A02A76">
        <w:t>Unit Mapping Information</w:t>
      </w:r>
    </w:p>
    <w:p w:rsidR="00000000" w:rsidRPr="00A02A76" w:rsidP="00070CB6">
      <w:pPr>
        <w:pStyle w:val="BodyText"/>
      </w:pPr>
      <w:r w:rsidRPr="00A02A76">
        <w:t xml:space="preserve">Release 1. Supersedes and is equivalent to MEM07025B Perform advanced machine or process operation </w:t>
      </w:r>
    </w:p>
    <w:p w:rsidR="00000000" w:rsidRPr="00A02A76" w:rsidP="00A02A76">
      <w:pPr>
        <w:pStyle w:val="Heading1"/>
      </w:pPr>
      <w:bookmarkStart w:id="9" w:name="O_954348"/>
      <w:bookmarkEnd w:id="9"/>
      <w:r w:rsidRPr="00A02A76">
        <w:t>Links</w:t>
      </w:r>
    </w:p>
    <w:p w:rsidR="00000000" w:rsidRPr="00A02A76" w:rsidP="00070CB6">
      <w:pPr>
        <w:pStyle w:val="BodyText"/>
      </w:pPr>
      <w:r w:rsidRPr="00A02A7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279A5">
        <w:rPr>
          <w:rStyle w:val="Hyperlink"/>
        </w:rPr>
        <w:t>https://vetnet.gov.au/Pages/TrainingDocs.aspx?q=b7050d37-5fd0-4740-8f7d-3b7a49c10bb2</w:t>
      </w:r>
      <w:r>
        <w:fldChar w:fldCharType="end"/>
      </w:r>
    </w:p>
    <w:p w:rsidR="00000000" w:rsidRPr="00A02A76" w:rsidP="00A02A76"/>
    <w:sectPr w:rsidSect="00A02A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A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A76" w:rsidRPr="00070CB6" w:rsidP="00070C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A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B6" w:rsidP="00A02A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0CB6" w:rsidP="00A02A7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0CB6" w:rsidP="00A02A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A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2A76" w:rsidRPr="00070CB6" w:rsidP="00070C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A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CB6" w:rsidRPr="002D2AF8" w:rsidP="00A02A76">
    <w:pPr>
      <w:pStyle w:val="Header"/>
      <w:framePr w:wrap="around"/>
    </w:pPr>
    <w:r>
      <w:fldChar w:fldCharType="begin"/>
    </w:r>
    <w:r>
      <w:instrText xml:space="preserve"> TITLE   \* MERGEFORMAT </w:instrText>
    </w:r>
    <w:r>
      <w:fldChar w:fldCharType="separate"/>
    </w:r>
    <w:r>
      <w:t>MEM07025 Perform advanced machine and process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70CB6" w:rsidP="00A02A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2220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9A3A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A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2A76"/>
    <w:pPr>
      <w:spacing w:before="360" w:after="60"/>
      <w:outlineLvl w:val="0"/>
    </w:pPr>
    <w:rPr>
      <w:sz w:val="32"/>
    </w:rPr>
  </w:style>
  <w:style w:type="paragraph" w:styleId="Heading2">
    <w:name w:val="heading 2"/>
    <w:basedOn w:val="HeadingBase"/>
    <w:next w:val="BodyText"/>
    <w:link w:val="Heading2Char"/>
    <w:qFormat/>
    <w:rsid w:val="00A02A76"/>
    <w:pPr>
      <w:keepLines/>
      <w:spacing w:before="240" w:after="120"/>
      <w:outlineLvl w:val="1"/>
    </w:pPr>
    <w:rPr>
      <w:sz w:val="28"/>
      <w:szCs w:val="40"/>
    </w:rPr>
  </w:style>
  <w:style w:type="paragraph" w:styleId="Heading3">
    <w:name w:val="heading 3"/>
    <w:basedOn w:val="HeadingBase"/>
    <w:next w:val="BodyText"/>
    <w:link w:val="Heading3Char"/>
    <w:qFormat/>
    <w:rsid w:val="00A02A76"/>
    <w:pPr>
      <w:spacing w:before="180" w:after="120"/>
      <w:outlineLvl w:val="2"/>
    </w:pPr>
    <w:rPr>
      <w:spacing w:val="-10"/>
      <w:kern w:val="32"/>
    </w:rPr>
  </w:style>
  <w:style w:type="paragraph" w:styleId="Heading4">
    <w:name w:val="heading 4"/>
    <w:basedOn w:val="HeadingBase"/>
    <w:next w:val="BodyText"/>
    <w:link w:val="Heading4Char"/>
    <w:qFormat/>
    <w:rsid w:val="00A02A76"/>
    <w:pPr>
      <w:spacing w:before="160" w:after="120"/>
      <w:outlineLvl w:val="3"/>
    </w:pPr>
    <w:rPr>
      <w:sz w:val="22"/>
    </w:rPr>
  </w:style>
  <w:style w:type="paragraph" w:styleId="Heading5">
    <w:name w:val="heading 5"/>
    <w:basedOn w:val="HeadingBase"/>
    <w:next w:val="Normal"/>
    <w:link w:val="Heading5Char"/>
    <w:qFormat/>
    <w:rsid w:val="00A02A76"/>
    <w:pPr>
      <w:spacing w:before="80"/>
      <w:outlineLvl w:val="4"/>
    </w:pPr>
    <w:rPr>
      <w:color w:val="918585"/>
      <w:sz w:val="20"/>
    </w:rPr>
  </w:style>
  <w:style w:type="paragraph" w:styleId="Heading6">
    <w:name w:val="heading 6"/>
    <w:basedOn w:val="HeadingBase"/>
    <w:next w:val="Normal"/>
    <w:link w:val="Heading6Char"/>
    <w:qFormat/>
    <w:rsid w:val="00A02A76"/>
    <w:pPr>
      <w:spacing w:before="60"/>
      <w:outlineLvl w:val="5"/>
    </w:pPr>
    <w:rPr>
      <w:color w:val="918585"/>
      <w:sz w:val="20"/>
    </w:rPr>
  </w:style>
  <w:style w:type="paragraph" w:styleId="Heading7">
    <w:name w:val="heading 7"/>
    <w:basedOn w:val="Normal"/>
    <w:next w:val="Normal"/>
    <w:link w:val="Heading7Char"/>
    <w:qFormat/>
    <w:rsid w:val="00A02A76"/>
    <w:pPr>
      <w:ind w:left="720"/>
      <w:outlineLvl w:val="6"/>
    </w:pPr>
    <w:rPr>
      <w:i/>
    </w:rPr>
  </w:style>
  <w:style w:type="paragraph" w:styleId="Heading8">
    <w:name w:val="heading 8"/>
    <w:basedOn w:val="Normal"/>
    <w:next w:val="Normal"/>
    <w:link w:val="Heading8Char"/>
    <w:qFormat/>
    <w:rsid w:val="00A02A76"/>
    <w:pPr>
      <w:ind w:left="720"/>
      <w:outlineLvl w:val="7"/>
    </w:pPr>
    <w:rPr>
      <w:i/>
    </w:rPr>
  </w:style>
  <w:style w:type="paragraph" w:styleId="Heading9">
    <w:name w:val="heading 9"/>
    <w:basedOn w:val="Normal"/>
    <w:next w:val="Normal"/>
    <w:link w:val="Heading9Char"/>
    <w:qFormat/>
    <w:rsid w:val="00A02A76"/>
    <w:pPr>
      <w:ind w:left="720"/>
      <w:outlineLvl w:val="8"/>
    </w:pPr>
    <w:rPr>
      <w:i/>
    </w:rPr>
  </w:style>
  <w:style w:type="character" w:default="1" w:styleId="DefaultParagraphFont">
    <w:name w:val="Default Paragraph Font"/>
    <w:uiPriority w:val="1"/>
    <w:unhideWhenUsed/>
    <w:rsid w:val="00A02A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A76"/>
  </w:style>
  <w:style w:type="character" w:customStyle="1" w:styleId="Heading1Char">
    <w:name w:val="Heading 1 Char"/>
    <w:basedOn w:val="DefaultParagraphFont"/>
    <w:link w:val="Heading1"/>
    <w:rsid w:val="00A02A76"/>
    <w:rPr>
      <w:rFonts w:ascii="Times New Roman" w:eastAsia="Times New Roman" w:hAnsi="Times New Roman" w:cs="Times New Roman"/>
      <w:b/>
      <w:sz w:val="32"/>
      <w:szCs w:val="20"/>
      <w:lang w:eastAsia="en-US"/>
    </w:rPr>
  </w:style>
  <w:style w:type="paragraph" w:styleId="BodyText">
    <w:name w:val="Body Text"/>
    <w:basedOn w:val="Normal"/>
    <w:link w:val="BodyTextChar"/>
    <w:rsid w:val="00A02A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2A76"/>
    <w:rPr>
      <w:rFonts w:ascii="Times New Roman" w:eastAsia="Times New Roman" w:hAnsi="Times New Roman" w:cs="Times New Roman"/>
      <w:sz w:val="24"/>
      <w:lang w:eastAsia="en-US"/>
    </w:rPr>
  </w:style>
  <w:style w:type="paragraph" w:styleId="ListBullet">
    <w:name w:val="List Bullet"/>
    <w:basedOn w:val="List"/>
    <w:rsid w:val="00A02A76"/>
    <w:pPr>
      <w:numPr>
        <w:numId w:val="11"/>
      </w:numPr>
      <w:tabs>
        <w:tab w:val="clear" w:pos="340"/>
      </w:tabs>
      <w:spacing w:before="40" w:after="40"/>
    </w:pPr>
  </w:style>
  <w:style w:type="character" w:customStyle="1" w:styleId="SpecialBold">
    <w:name w:val="Special Bold"/>
    <w:basedOn w:val="DefaultParagraphFont"/>
    <w:rsid w:val="00A02A76"/>
    <w:rPr>
      <w:b/>
      <w:spacing w:val="0"/>
    </w:rPr>
  </w:style>
  <w:style w:type="paragraph" w:customStyle="1" w:styleId="SuperHeading">
    <w:name w:val="SuperHeading"/>
    <w:basedOn w:val="Normal"/>
    <w:rsid w:val="00A02A76"/>
    <w:pPr>
      <w:spacing w:before="240" w:after="120"/>
      <w:outlineLvl w:val="0"/>
    </w:pPr>
    <w:rPr>
      <w:rFonts w:ascii="Times New Roman" w:hAnsi="Times New Roman"/>
      <w:b/>
      <w:sz w:val="32"/>
    </w:rPr>
  </w:style>
  <w:style w:type="paragraph" w:customStyle="1" w:styleId="AllowPageBreak">
    <w:name w:val="AllowPageBreak"/>
    <w:rsid w:val="00A02A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2A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2A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2A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2A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2A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A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2A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2A76"/>
    <w:rPr>
      <w:rFonts w:ascii="Courier New" w:eastAsia="Times New Roman" w:hAnsi="Courier New" w:cs="Times New Roman"/>
      <w:i/>
      <w:szCs w:val="20"/>
      <w:lang w:eastAsia="en-US"/>
    </w:rPr>
  </w:style>
  <w:style w:type="paragraph" w:customStyle="1" w:styleId="HeadingBase">
    <w:name w:val="Heading Base"/>
    <w:rsid w:val="00A02A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A76"/>
    <w:pPr>
      <w:tabs>
        <w:tab w:val="right" w:leader="dot" w:pos="9072"/>
      </w:tabs>
      <w:ind w:left="567"/>
    </w:pPr>
    <w:rPr>
      <w:szCs w:val="22"/>
    </w:rPr>
  </w:style>
  <w:style w:type="paragraph" w:customStyle="1" w:styleId="TOCBase">
    <w:name w:val="TOC Base"/>
    <w:rsid w:val="00A02A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A76"/>
    <w:pPr>
      <w:tabs>
        <w:tab w:val="right" w:leader="dot" w:pos="9072"/>
      </w:tabs>
      <w:spacing w:before="40" w:after="40"/>
      <w:ind w:left="284"/>
    </w:pPr>
    <w:rPr>
      <w:rFonts w:ascii="Times New Roman" w:hAnsi="Times New Roman"/>
    </w:rPr>
  </w:style>
  <w:style w:type="paragraph" w:styleId="TOC1">
    <w:name w:val="toc 1"/>
    <w:basedOn w:val="TOCBase"/>
    <w:next w:val="Normal"/>
    <w:rsid w:val="00A02A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2A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2A76"/>
    <w:rPr>
      <w:rFonts w:ascii="Times New Roman" w:eastAsia="Times New Roman" w:hAnsi="Times New Roman" w:cs="Times New Roman"/>
      <w:sz w:val="16"/>
      <w:lang w:eastAsia="en-US"/>
    </w:rPr>
  </w:style>
  <w:style w:type="paragraph" w:styleId="Title">
    <w:name w:val="Title"/>
    <w:basedOn w:val="HeadingBase"/>
    <w:link w:val="TitleChar"/>
    <w:qFormat/>
    <w:rsid w:val="00A02A76"/>
    <w:pPr>
      <w:spacing w:before="5040"/>
      <w:jc w:val="center"/>
    </w:pPr>
    <w:rPr>
      <w:sz w:val="48"/>
      <w:szCs w:val="72"/>
      <w:lang w:val="en-US"/>
    </w:rPr>
  </w:style>
  <w:style w:type="character" w:customStyle="1" w:styleId="TitleChar">
    <w:name w:val="Title Char"/>
    <w:basedOn w:val="DefaultParagraphFont"/>
    <w:link w:val="Title"/>
    <w:rsid w:val="00A02A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A76"/>
    <w:pPr>
      <w:tabs>
        <w:tab w:val="left" w:pos="3600"/>
        <w:tab w:val="left" w:pos="3958"/>
      </w:tabs>
    </w:pPr>
  </w:style>
  <w:style w:type="paragraph" w:styleId="List">
    <w:name w:val="List"/>
    <w:basedOn w:val="BodyText"/>
    <w:next w:val="BodyText"/>
    <w:rsid w:val="00A02A76"/>
    <w:pPr>
      <w:tabs>
        <w:tab w:val="left" w:pos="340"/>
      </w:tabs>
      <w:spacing w:before="60" w:after="60"/>
      <w:ind w:left="340" w:hanging="340"/>
    </w:pPr>
  </w:style>
  <w:style w:type="paragraph" w:customStyle="1" w:styleId="Note">
    <w:name w:val="Note"/>
    <w:basedOn w:val="BodyText"/>
    <w:rsid w:val="00A02A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2A76"/>
    <w:pPr>
      <w:framePr w:wrap="auto" w:hAnchor="text" w:y="6049"/>
    </w:pPr>
    <w:rPr>
      <w:color w:val="000000"/>
      <w:sz w:val="40"/>
    </w:rPr>
  </w:style>
  <w:style w:type="paragraph" w:customStyle="1" w:styleId="TOCTitle">
    <w:name w:val="TOCTitle"/>
    <w:basedOn w:val="Heading1"/>
    <w:rsid w:val="00A02A76"/>
    <w:pPr>
      <w:spacing w:after="240"/>
      <w:jc w:val="center"/>
      <w:outlineLvl w:val="9"/>
    </w:pPr>
    <w:rPr>
      <w:caps/>
    </w:rPr>
  </w:style>
  <w:style w:type="paragraph" w:customStyle="1" w:styleId="Version">
    <w:name w:val="Version"/>
    <w:rsid w:val="00A02A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2A76"/>
    <w:pPr>
      <w:numPr>
        <w:numId w:val="12"/>
      </w:numPr>
      <w:tabs>
        <w:tab w:val="clear" w:pos="680"/>
      </w:tabs>
    </w:pPr>
  </w:style>
  <w:style w:type="paragraph" w:styleId="Index1">
    <w:name w:val="index 1"/>
    <w:basedOn w:val="Normal"/>
    <w:next w:val="Normal"/>
    <w:semiHidden/>
    <w:rsid w:val="00A02A76"/>
    <w:pPr>
      <w:keepNext w:val="0"/>
      <w:tabs>
        <w:tab w:val="right" w:pos="4176"/>
      </w:tabs>
      <w:ind w:left="198" w:hanging="198"/>
    </w:pPr>
    <w:rPr>
      <w:rFonts w:ascii="Garamond" w:hAnsi="Garamond"/>
    </w:rPr>
  </w:style>
  <w:style w:type="paragraph" w:styleId="IndexHeading">
    <w:name w:val="index heading"/>
    <w:basedOn w:val="Normal"/>
    <w:next w:val="Index1"/>
    <w:semiHidden/>
    <w:rsid w:val="00A02A76"/>
    <w:pPr>
      <w:spacing w:before="120" w:after="120"/>
    </w:pPr>
    <w:rPr>
      <w:rFonts w:ascii="Arial" w:hAnsi="Arial"/>
      <w:b/>
      <w:color w:val="918585"/>
      <w:sz w:val="24"/>
    </w:rPr>
  </w:style>
  <w:style w:type="paragraph" w:styleId="Header">
    <w:name w:val="header"/>
    <w:basedOn w:val="Normal"/>
    <w:link w:val="HeaderChar"/>
    <w:rsid w:val="00A02A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2A76"/>
    <w:rPr>
      <w:rFonts w:ascii="Times New Roman" w:eastAsia="Times New Roman" w:hAnsi="Times New Roman" w:cs="Times New Roman"/>
      <w:sz w:val="16"/>
      <w:szCs w:val="20"/>
      <w:lang w:val="en-GB" w:eastAsia="en-US"/>
    </w:rPr>
  </w:style>
  <w:style w:type="paragraph" w:customStyle="1" w:styleId="Chapter">
    <w:name w:val="Chapter"/>
    <w:basedOn w:val="Normal"/>
    <w:rsid w:val="00A02A76"/>
    <w:pPr>
      <w:spacing w:before="240"/>
    </w:pPr>
    <w:rPr>
      <w:rFonts w:ascii="Times New Roman" w:hAnsi="Times New Roman"/>
      <w:smallCaps/>
      <w:spacing w:val="80"/>
      <w:sz w:val="28"/>
    </w:rPr>
  </w:style>
  <w:style w:type="paragraph" w:customStyle="1" w:styleId="InChapter">
    <w:name w:val="InChapter"/>
    <w:basedOn w:val="Heading3"/>
    <w:rsid w:val="00A02A76"/>
    <w:pPr>
      <w:spacing w:after="240"/>
      <w:outlineLvl w:val="9"/>
    </w:pPr>
    <w:rPr>
      <w:noProof/>
    </w:rPr>
  </w:style>
  <w:style w:type="paragraph" w:styleId="Index2">
    <w:name w:val="index 2"/>
    <w:basedOn w:val="Normal"/>
    <w:next w:val="Normal"/>
    <w:semiHidden/>
    <w:rsid w:val="00A02A76"/>
    <w:pPr>
      <w:tabs>
        <w:tab w:val="right" w:pos="4176"/>
      </w:tabs>
      <w:ind w:left="568" w:hanging="284"/>
    </w:pPr>
    <w:rPr>
      <w:rFonts w:ascii="Garamond" w:hAnsi="Garamond"/>
    </w:rPr>
  </w:style>
  <w:style w:type="paragraph" w:customStyle="1" w:styleId="Byline">
    <w:name w:val="Byline"/>
    <w:rsid w:val="00A02A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A76"/>
    <w:pPr>
      <w:tabs>
        <w:tab w:val="clear" w:pos="3600"/>
        <w:tab w:val="clear" w:pos="3958"/>
      </w:tabs>
      <w:jc w:val="right"/>
    </w:pPr>
  </w:style>
  <w:style w:type="character" w:styleId="Emphasis">
    <w:name w:val="Emphasis"/>
    <w:basedOn w:val="DefaultParagraphFont"/>
    <w:qFormat/>
    <w:rsid w:val="00A02A76"/>
    <w:rPr>
      <w:i/>
    </w:rPr>
  </w:style>
  <w:style w:type="paragraph" w:styleId="Caption">
    <w:name w:val="caption"/>
    <w:basedOn w:val="BodyText"/>
    <w:next w:val="Normal"/>
    <w:qFormat/>
    <w:rsid w:val="00A02A76"/>
    <w:pPr>
      <w:framePr w:w="2268" w:hSpace="181" w:vSpace="181" w:wrap="around" w:vAnchor="text" w:hAnchor="page" w:x="1135" w:y="285" w:anchorLock="1"/>
    </w:pPr>
    <w:rPr>
      <w:i/>
    </w:rPr>
  </w:style>
  <w:style w:type="paragraph" w:customStyle="1" w:styleId="MiniTOCTitle">
    <w:name w:val="MiniTOCTitle"/>
    <w:basedOn w:val="Heading4"/>
    <w:rsid w:val="00A02A76"/>
    <w:pPr>
      <w:spacing w:before="240"/>
      <w:outlineLvl w:val="9"/>
    </w:pPr>
    <w:rPr>
      <w:noProof/>
      <w:sz w:val="24"/>
    </w:rPr>
  </w:style>
  <w:style w:type="paragraph" w:customStyle="1" w:styleId="MiniTOCItem">
    <w:name w:val="MiniTOCItem"/>
    <w:basedOn w:val="ListBullet"/>
    <w:rsid w:val="00A02A76"/>
    <w:pPr>
      <w:numPr>
        <w:numId w:val="0"/>
      </w:numPr>
      <w:tabs>
        <w:tab w:val="right" w:leader="dot" w:pos="6521"/>
      </w:tabs>
      <w:spacing w:before="0" w:after="0"/>
    </w:pPr>
  </w:style>
  <w:style w:type="paragraph" w:customStyle="1" w:styleId="TOFTitle">
    <w:name w:val="TOFTitle"/>
    <w:basedOn w:val="TOCTitle"/>
    <w:rsid w:val="00A02A76"/>
  </w:style>
  <w:style w:type="paragraph" w:styleId="TableofFigures">
    <w:name w:val="table of figures"/>
    <w:basedOn w:val="Normal"/>
    <w:next w:val="Normal"/>
    <w:semiHidden/>
    <w:rsid w:val="00A02A76"/>
    <w:pPr>
      <w:tabs>
        <w:tab w:val="right" w:leader="dot" w:pos="9072"/>
      </w:tabs>
      <w:ind w:left="970" w:hanging="403"/>
    </w:pPr>
    <w:rPr>
      <w:rFonts w:ascii="Times New Roman" w:hAnsi="Times New Roman"/>
      <w:b/>
    </w:rPr>
  </w:style>
  <w:style w:type="paragraph" w:styleId="ListNumber">
    <w:name w:val="List Number"/>
    <w:basedOn w:val="List"/>
    <w:rsid w:val="00A02A76"/>
    <w:pPr>
      <w:numPr>
        <w:numId w:val="14"/>
      </w:numPr>
      <w:tabs>
        <w:tab w:val="clear" w:pos="340"/>
      </w:tabs>
    </w:pPr>
  </w:style>
  <w:style w:type="character" w:customStyle="1" w:styleId="WingdingSymbols">
    <w:name w:val="Wingding Symbols"/>
    <w:rsid w:val="00A02A76"/>
    <w:rPr>
      <w:rFonts w:ascii="Wingdings" w:hAnsi="Wingdings"/>
    </w:rPr>
  </w:style>
  <w:style w:type="paragraph" w:customStyle="1" w:styleId="TableHeading">
    <w:name w:val="Table Heading"/>
    <w:basedOn w:val="HeadingBase"/>
    <w:rsid w:val="00A02A76"/>
    <w:pPr>
      <w:keepLines/>
      <w:pBdr>
        <w:bottom w:val="single" w:sz="6" w:space="1" w:color="918585"/>
      </w:pBdr>
      <w:spacing w:before="240"/>
    </w:pPr>
  </w:style>
  <w:style w:type="character" w:customStyle="1" w:styleId="HotSpot">
    <w:name w:val="HotSpot"/>
    <w:rsid w:val="00A02A76"/>
    <w:rPr>
      <w:color w:val="0033CC"/>
      <w:u w:val="none"/>
    </w:rPr>
  </w:style>
  <w:style w:type="paragraph" w:customStyle="1" w:styleId="BodyTextRight">
    <w:name w:val="Body Text Right"/>
    <w:basedOn w:val="BodyText"/>
    <w:rsid w:val="00A02A76"/>
    <w:pPr>
      <w:spacing w:before="0" w:after="0"/>
      <w:jc w:val="right"/>
    </w:pPr>
  </w:style>
  <w:style w:type="paragraph" w:styleId="Index3">
    <w:name w:val="index 3"/>
    <w:basedOn w:val="ListNumber2"/>
    <w:next w:val="Normal"/>
    <w:semiHidden/>
    <w:rsid w:val="00A02A76"/>
    <w:pPr>
      <w:numPr>
        <w:numId w:val="0"/>
      </w:numPr>
      <w:tabs>
        <w:tab w:val="right" w:leader="dot" w:pos="4176"/>
      </w:tabs>
    </w:pPr>
  </w:style>
  <w:style w:type="paragraph" w:styleId="ListNumber2">
    <w:name w:val="List Number 2"/>
    <w:basedOn w:val="List2"/>
    <w:rsid w:val="00A02A76"/>
    <w:pPr>
      <w:numPr>
        <w:numId w:val="9"/>
      </w:numPr>
      <w:tabs>
        <w:tab w:val="clear" w:pos="1060"/>
      </w:tabs>
    </w:pPr>
  </w:style>
  <w:style w:type="paragraph" w:customStyle="1" w:styleId="MarginNote">
    <w:name w:val="Margin Note"/>
    <w:basedOn w:val="BodyText"/>
    <w:rsid w:val="00A02A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A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2A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2A76"/>
    <w:rPr>
      <w:sz w:val="32"/>
    </w:rPr>
  </w:style>
  <w:style w:type="paragraph" w:customStyle="1" w:styleId="HeadingProcedure">
    <w:name w:val="Heading Procedure"/>
    <w:basedOn w:val="HeadingBase"/>
    <w:next w:val="Normal"/>
    <w:rsid w:val="00A02A76"/>
    <w:pPr>
      <w:tabs>
        <w:tab w:val="left" w:pos="0"/>
      </w:tabs>
      <w:spacing w:before="120" w:after="60"/>
    </w:pPr>
    <w:rPr>
      <w:i/>
      <w:color w:val="918585"/>
      <w:sz w:val="22"/>
    </w:rPr>
  </w:style>
  <w:style w:type="paragraph" w:customStyle="1" w:styleId="TableBodyText">
    <w:name w:val="Table Body Text"/>
    <w:basedOn w:val="BodyText"/>
    <w:rsid w:val="00A02A76"/>
    <w:pPr>
      <w:spacing w:before="60" w:after="60"/>
    </w:pPr>
  </w:style>
  <w:style w:type="paragraph" w:styleId="ListContinue">
    <w:name w:val="List Continue"/>
    <w:basedOn w:val="List"/>
    <w:rsid w:val="00A02A76"/>
    <w:pPr>
      <w:ind w:firstLine="0"/>
    </w:pPr>
  </w:style>
  <w:style w:type="paragraph" w:customStyle="1" w:styleId="ListNote">
    <w:name w:val="List Note"/>
    <w:basedOn w:val="List"/>
    <w:rsid w:val="00A02A76"/>
    <w:pPr>
      <w:pBdr>
        <w:top w:val="single" w:sz="6" w:space="2" w:color="918585"/>
        <w:bottom w:val="single" w:sz="6" w:space="2" w:color="918585"/>
      </w:pBdr>
      <w:tabs>
        <w:tab w:val="left" w:pos="1021"/>
      </w:tabs>
      <w:ind w:firstLine="0"/>
    </w:pPr>
  </w:style>
  <w:style w:type="paragraph" w:customStyle="1" w:styleId="Warning">
    <w:name w:val="Warning"/>
    <w:basedOn w:val="BodyText"/>
    <w:rsid w:val="00A02A76"/>
    <w:pPr>
      <w:shd w:val="clear" w:color="auto" w:fill="D9D9D9"/>
      <w:tabs>
        <w:tab w:val="left" w:pos="992"/>
      </w:tabs>
      <w:ind w:left="119" w:right="119"/>
    </w:pPr>
    <w:rPr>
      <w:sz w:val="20"/>
    </w:rPr>
  </w:style>
  <w:style w:type="paragraph" w:customStyle="1" w:styleId="MarginIcons">
    <w:name w:val="Margin Icons"/>
    <w:basedOn w:val="BodyText"/>
    <w:rsid w:val="00A02A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2A76"/>
    <w:rPr>
      <w:rFonts w:ascii="Courier New" w:hAnsi="Courier New"/>
    </w:rPr>
  </w:style>
  <w:style w:type="paragraph" w:customStyle="1" w:styleId="NoteBullet">
    <w:name w:val="Note Bullet"/>
    <w:basedOn w:val="Note"/>
    <w:rsid w:val="00A02A76"/>
    <w:pPr>
      <w:tabs>
        <w:tab w:val="clear" w:pos="680"/>
      </w:tabs>
      <w:spacing w:before="60" w:after="60"/>
    </w:pPr>
  </w:style>
  <w:style w:type="paragraph" w:customStyle="1" w:styleId="SubHeading2">
    <w:name w:val="SubHeading2"/>
    <w:basedOn w:val="HeadingBase"/>
    <w:rsid w:val="00A02A76"/>
    <w:pPr>
      <w:spacing w:before="240" w:after="60"/>
    </w:pPr>
    <w:rPr>
      <w:sz w:val="20"/>
    </w:rPr>
  </w:style>
  <w:style w:type="paragraph" w:customStyle="1" w:styleId="SubHeading1">
    <w:name w:val="SubHeading1"/>
    <w:basedOn w:val="HeadingBase"/>
    <w:rsid w:val="00A02A76"/>
    <w:pPr>
      <w:spacing w:before="240" w:after="60"/>
    </w:pPr>
    <w:rPr>
      <w:color w:val="918585"/>
      <w:sz w:val="22"/>
    </w:rPr>
  </w:style>
  <w:style w:type="paragraph" w:customStyle="1" w:styleId="SideHeading">
    <w:name w:val="Side Heading"/>
    <w:basedOn w:val="HeadingBase"/>
    <w:rsid w:val="00A02A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A76"/>
    <w:pPr>
      <w:numPr>
        <w:numId w:val="10"/>
      </w:numPr>
    </w:pPr>
  </w:style>
  <w:style w:type="paragraph" w:styleId="PlainText">
    <w:name w:val="Plain Text"/>
    <w:basedOn w:val="Normal"/>
    <w:link w:val="PlainTextChar"/>
    <w:rsid w:val="00A02A76"/>
    <w:rPr>
      <w:sz w:val="20"/>
    </w:rPr>
  </w:style>
  <w:style w:type="character" w:customStyle="1" w:styleId="PlainTextChar">
    <w:name w:val="Plain Text Char"/>
    <w:basedOn w:val="DefaultParagraphFont"/>
    <w:link w:val="PlainText"/>
    <w:rsid w:val="00A02A76"/>
    <w:rPr>
      <w:rFonts w:ascii="Courier New" w:eastAsia="Times New Roman" w:hAnsi="Courier New" w:cs="Times New Roman"/>
      <w:sz w:val="20"/>
      <w:szCs w:val="20"/>
      <w:lang w:eastAsia="en-US"/>
    </w:rPr>
  </w:style>
  <w:style w:type="character" w:customStyle="1" w:styleId="MenuOption">
    <w:name w:val="Menu Option"/>
    <w:basedOn w:val="DefaultParagraphFont"/>
    <w:rsid w:val="00A02A76"/>
    <w:rPr>
      <w:b/>
      <w:smallCaps/>
    </w:rPr>
  </w:style>
  <w:style w:type="paragraph" w:customStyle="1" w:styleId="TableListNumber">
    <w:name w:val="Table List Number"/>
    <w:basedOn w:val="ListNumber"/>
    <w:rsid w:val="00A02A76"/>
    <w:pPr>
      <w:numPr>
        <w:numId w:val="0"/>
      </w:numPr>
    </w:pPr>
  </w:style>
  <w:style w:type="paragraph" w:styleId="TOC4">
    <w:name w:val="toc 4"/>
    <w:basedOn w:val="TOCBase"/>
    <w:next w:val="Normal"/>
    <w:semiHidden/>
    <w:rsid w:val="00A02A76"/>
    <w:pPr>
      <w:tabs>
        <w:tab w:val="right" w:leader="dot" w:pos="9071"/>
      </w:tabs>
      <w:ind w:left="1701"/>
    </w:pPr>
  </w:style>
  <w:style w:type="paragraph" w:customStyle="1" w:styleId="ListAlpha">
    <w:name w:val="List Alpha"/>
    <w:basedOn w:val="List"/>
    <w:rsid w:val="00A02A76"/>
    <w:pPr>
      <w:numPr>
        <w:numId w:val="8"/>
      </w:numPr>
    </w:pPr>
  </w:style>
  <w:style w:type="paragraph" w:customStyle="1" w:styleId="ListAlpha2">
    <w:name w:val="List Alpha 2"/>
    <w:basedOn w:val="List2"/>
    <w:rsid w:val="00A02A76"/>
    <w:pPr>
      <w:numPr>
        <w:numId w:val="7"/>
      </w:numPr>
    </w:pPr>
  </w:style>
  <w:style w:type="paragraph" w:styleId="List2">
    <w:name w:val="List 2"/>
    <w:basedOn w:val="BodyText"/>
    <w:rsid w:val="00A02A76"/>
    <w:pPr>
      <w:tabs>
        <w:tab w:val="left" w:pos="680"/>
      </w:tabs>
      <w:spacing w:before="60" w:after="60"/>
      <w:ind w:left="680" w:hanging="340"/>
    </w:pPr>
  </w:style>
  <w:style w:type="paragraph" w:styleId="List3">
    <w:name w:val="List 3"/>
    <w:basedOn w:val="BodyText"/>
    <w:rsid w:val="00A02A76"/>
    <w:pPr>
      <w:tabs>
        <w:tab w:val="left" w:pos="1021"/>
      </w:tabs>
      <w:spacing w:before="60" w:after="60"/>
      <w:ind w:left="1020" w:hanging="340"/>
    </w:pPr>
  </w:style>
  <w:style w:type="paragraph" w:styleId="List4">
    <w:name w:val="List 4"/>
    <w:basedOn w:val="BodyText"/>
    <w:rsid w:val="00A02A76"/>
    <w:pPr>
      <w:tabs>
        <w:tab w:val="left" w:pos="1361"/>
      </w:tabs>
      <w:spacing w:before="60" w:after="60"/>
      <w:ind w:left="1361" w:hanging="340"/>
    </w:pPr>
  </w:style>
  <w:style w:type="paragraph" w:styleId="List5">
    <w:name w:val="List 5"/>
    <w:basedOn w:val="BodyText"/>
    <w:rsid w:val="00A02A76"/>
    <w:pPr>
      <w:tabs>
        <w:tab w:val="left" w:pos="1701"/>
      </w:tabs>
      <w:spacing w:before="60" w:after="60"/>
      <w:ind w:left="1701" w:hanging="340"/>
    </w:pPr>
  </w:style>
  <w:style w:type="paragraph" w:styleId="ListBullet3">
    <w:name w:val="List Bullet 3"/>
    <w:basedOn w:val="List3"/>
    <w:rsid w:val="00A02A76"/>
    <w:pPr>
      <w:numPr>
        <w:numId w:val="13"/>
      </w:numPr>
      <w:tabs>
        <w:tab w:val="clear" w:pos="1021"/>
      </w:tabs>
      <w:ind w:left="1037" w:hanging="357"/>
    </w:pPr>
  </w:style>
  <w:style w:type="paragraph" w:styleId="ListBullet4">
    <w:name w:val="List Bullet 4"/>
    <w:basedOn w:val="List4"/>
    <w:rsid w:val="00A02A76"/>
    <w:pPr>
      <w:numPr>
        <w:numId w:val="2"/>
      </w:numPr>
      <w:tabs>
        <w:tab w:val="clear" w:pos="1361"/>
      </w:tabs>
    </w:pPr>
  </w:style>
  <w:style w:type="paragraph" w:styleId="ListBullet5">
    <w:name w:val="List Bullet 5"/>
    <w:basedOn w:val="List5"/>
    <w:rsid w:val="00A02A76"/>
    <w:pPr>
      <w:numPr>
        <w:numId w:val="3"/>
      </w:numPr>
    </w:pPr>
  </w:style>
  <w:style w:type="paragraph" w:styleId="ListContinue2">
    <w:name w:val="List Continue 2"/>
    <w:basedOn w:val="List2"/>
    <w:rsid w:val="00A02A76"/>
    <w:pPr>
      <w:ind w:firstLine="0"/>
    </w:pPr>
  </w:style>
  <w:style w:type="paragraph" w:styleId="ListContinue3">
    <w:name w:val="List Continue 3"/>
    <w:basedOn w:val="List3"/>
    <w:rsid w:val="00A02A76"/>
    <w:pPr>
      <w:ind w:left="1021" w:firstLine="0"/>
    </w:pPr>
  </w:style>
  <w:style w:type="paragraph" w:styleId="ListContinue4">
    <w:name w:val="List Continue 4"/>
    <w:basedOn w:val="List4"/>
    <w:rsid w:val="00A02A76"/>
    <w:pPr>
      <w:ind w:firstLine="0"/>
    </w:pPr>
  </w:style>
  <w:style w:type="paragraph" w:styleId="ListContinue5">
    <w:name w:val="List Continue 5"/>
    <w:basedOn w:val="List5"/>
    <w:rsid w:val="00A02A76"/>
    <w:pPr>
      <w:ind w:firstLine="0"/>
    </w:pPr>
  </w:style>
  <w:style w:type="paragraph" w:styleId="ListNumber3">
    <w:name w:val="List Number 3"/>
    <w:basedOn w:val="List3"/>
    <w:rsid w:val="00A02A76"/>
    <w:pPr>
      <w:numPr>
        <w:numId w:val="4"/>
      </w:numPr>
    </w:pPr>
  </w:style>
  <w:style w:type="paragraph" w:styleId="ListNumber4">
    <w:name w:val="List Number 4"/>
    <w:basedOn w:val="List4"/>
    <w:rsid w:val="00A02A76"/>
    <w:pPr>
      <w:numPr>
        <w:numId w:val="5"/>
      </w:numPr>
    </w:pPr>
  </w:style>
  <w:style w:type="paragraph" w:styleId="ListNumber5">
    <w:name w:val="List Number 5"/>
    <w:basedOn w:val="List5"/>
    <w:rsid w:val="00A02A76"/>
    <w:pPr>
      <w:numPr>
        <w:numId w:val="6"/>
      </w:numPr>
    </w:pPr>
  </w:style>
  <w:style w:type="paragraph" w:styleId="BlockText">
    <w:name w:val="Block Text"/>
    <w:basedOn w:val="Normal"/>
    <w:rsid w:val="00A02A76"/>
    <w:pPr>
      <w:spacing w:after="120"/>
      <w:ind w:left="1440" w:right="1440"/>
    </w:pPr>
  </w:style>
  <w:style w:type="character" w:customStyle="1" w:styleId="Subscript">
    <w:name w:val="Subscript"/>
    <w:basedOn w:val="DefaultParagraphFont"/>
    <w:rsid w:val="00A02A76"/>
    <w:rPr>
      <w:sz w:val="16"/>
      <w:vertAlign w:val="subscript"/>
    </w:rPr>
  </w:style>
  <w:style w:type="character" w:customStyle="1" w:styleId="Superscript">
    <w:name w:val="Superscript"/>
    <w:basedOn w:val="DefaultParagraphFont"/>
    <w:rsid w:val="00A02A76"/>
    <w:rPr>
      <w:sz w:val="16"/>
      <w:vertAlign w:val="superscript"/>
    </w:rPr>
  </w:style>
  <w:style w:type="character" w:customStyle="1" w:styleId="Symbols">
    <w:name w:val="Symbols"/>
    <w:basedOn w:val="DefaultParagraphFont"/>
    <w:rsid w:val="00A02A76"/>
    <w:rPr>
      <w:rFonts w:ascii="Symbol" w:hAnsi="Symbol"/>
    </w:rPr>
  </w:style>
  <w:style w:type="character" w:customStyle="1" w:styleId="MenuOptions">
    <w:name w:val="Menu Options"/>
    <w:basedOn w:val="DefaultParagraphFont"/>
    <w:rsid w:val="00A02A76"/>
    <w:rPr>
      <w:rFonts w:ascii="Arial Narrow" w:hAnsi="Arial Narrow"/>
      <w:smallCaps/>
    </w:rPr>
  </w:style>
  <w:style w:type="character" w:customStyle="1" w:styleId="Buttons">
    <w:name w:val="Buttons"/>
    <w:basedOn w:val="DefaultParagraphFont"/>
    <w:rsid w:val="00A02A76"/>
    <w:rPr>
      <w:b/>
    </w:rPr>
  </w:style>
  <w:style w:type="character" w:customStyle="1" w:styleId="Underlined">
    <w:name w:val="Underlined"/>
    <w:basedOn w:val="DefaultParagraphFont"/>
    <w:rsid w:val="00A02A76"/>
    <w:rPr>
      <w:u w:val="single"/>
    </w:rPr>
  </w:style>
  <w:style w:type="paragraph" w:customStyle="1" w:styleId="TableBodyTextRight">
    <w:name w:val="Table Body Text Right"/>
    <w:basedOn w:val="TableBodyText"/>
    <w:rsid w:val="00A02A76"/>
    <w:pPr>
      <w:widowControl w:val="0"/>
      <w:autoSpaceDE w:val="0"/>
      <w:autoSpaceDN w:val="0"/>
      <w:adjustRightInd w:val="0"/>
      <w:jc w:val="right"/>
    </w:pPr>
    <w:rPr>
      <w:rFonts w:cs="Arial"/>
      <w:szCs w:val="18"/>
    </w:rPr>
  </w:style>
  <w:style w:type="paragraph" w:customStyle="1" w:styleId="CopyrightText">
    <w:name w:val="Copyright Text"/>
    <w:basedOn w:val="BodyText"/>
    <w:rsid w:val="00A02A76"/>
    <w:rPr>
      <w:sz w:val="18"/>
    </w:rPr>
  </w:style>
  <w:style w:type="paragraph" w:customStyle="1" w:styleId="BodySmallRight">
    <w:name w:val="Body Small Right"/>
    <w:basedOn w:val="BodyTextRight"/>
    <w:rsid w:val="00A02A76"/>
    <w:rPr>
      <w:sz w:val="18"/>
      <w:szCs w:val="18"/>
    </w:rPr>
  </w:style>
  <w:style w:type="paragraph" w:customStyle="1" w:styleId="MarginEdition">
    <w:name w:val="Margin Edition"/>
    <w:basedOn w:val="MarginNote"/>
    <w:rsid w:val="00A02A76"/>
    <w:pPr>
      <w:spacing w:before="0" w:after="0"/>
    </w:pPr>
    <w:rPr>
      <w:rFonts w:ascii="Times New Roman" w:hAnsi="Times New Roman"/>
      <w:color w:val="999999"/>
    </w:rPr>
  </w:style>
  <w:style w:type="paragraph" w:customStyle="1" w:styleId="Spacer">
    <w:name w:val="Spacer"/>
    <w:basedOn w:val="Normal"/>
    <w:rsid w:val="00A02A76"/>
    <w:rPr>
      <w:sz w:val="2"/>
      <w:szCs w:val="2"/>
    </w:rPr>
  </w:style>
  <w:style w:type="character" w:customStyle="1" w:styleId="Small">
    <w:name w:val="Small"/>
    <w:basedOn w:val="DefaultParagraphFont"/>
    <w:rsid w:val="00A02A76"/>
    <w:rPr>
      <w:sz w:val="16"/>
    </w:rPr>
  </w:style>
  <w:style w:type="paragraph" w:customStyle="1" w:styleId="WideTable">
    <w:name w:val="Wide Table"/>
    <w:basedOn w:val="Normal"/>
    <w:rsid w:val="00A02A76"/>
    <w:pPr>
      <w:ind w:left="-1418"/>
    </w:pPr>
    <w:rPr>
      <w:sz w:val="2"/>
      <w:szCs w:val="2"/>
    </w:rPr>
  </w:style>
  <w:style w:type="character" w:styleId="PageNumber">
    <w:name w:val="page number"/>
    <w:basedOn w:val="DefaultParagraphFont"/>
    <w:rsid w:val="00A02A76"/>
  </w:style>
  <w:style w:type="paragraph" w:styleId="Quote">
    <w:name w:val="Quote"/>
    <w:basedOn w:val="Heading1"/>
    <w:link w:val="QuoteChar"/>
    <w:qFormat/>
    <w:rsid w:val="00A02A76"/>
    <w:rPr>
      <w:b w:val="0"/>
      <w:sz w:val="72"/>
      <w:szCs w:val="72"/>
      <w:lang w:val="en-NZ"/>
    </w:rPr>
  </w:style>
  <w:style w:type="character" w:customStyle="1" w:styleId="QuoteChar">
    <w:name w:val="Quote Char"/>
    <w:basedOn w:val="DefaultParagraphFont"/>
    <w:link w:val="Quote"/>
    <w:rsid w:val="00A02A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A76"/>
    <w:pPr>
      <w:pageBreakBefore/>
    </w:pPr>
  </w:style>
  <w:style w:type="paragraph" w:customStyle="1" w:styleId="Border">
    <w:name w:val="Border"/>
    <w:basedOn w:val="Normal"/>
    <w:qFormat/>
    <w:rsid w:val="00A02A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2A76"/>
    <w:rPr>
      <w:b/>
      <w:bCs/>
      <w:i/>
      <w:iCs/>
      <w:color w:val="auto"/>
    </w:rPr>
  </w:style>
  <w:style w:type="paragraph" w:styleId="IntenseQuote">
    <w:name w:val="Intense Quote"/>
    <w:basedOn w:val="Normal"/>
    <w:next w:val="Normal"/>
    <w:link w:val="IntenseQuoteChar"/>
    <w:uiPriority w:val="30"/>
    <w:qFormat/>
    <w:rsid w:val="00A02A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2A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2A76"/>
    <w:rPr>
      <w:smallCaps/>
      <w:color w:val="auto"/>
      <w:u w:val="single"/>
    </w:rPr>
  </w:style>
  <w:style w:type="character" w:styleId="IntenseReference">
    <w:name w:val="Intense Reference"/>
    <w:basedOn w:val="DefaultParagraphFont"/>
    <w:uiPriority w:val="32"/>
    <w:qFormat/>
    <w:rsid w:val="00A02A76"/>
    <w:rPr>
      <w:b/>
      <w:bCs/>
      <w:smallCaps/>
      <w:color w:val="auto"/>
      <w:spacing w:val="5"/>
      <w:u w:val="single"/>
    </w:rPr>
  </w:style>
  <w:style w:type="paragraph" w:customStyle="1" w:styleId="2ColumnHeading">
    <w:name w:val="2Column Heading"/>
    <w:basedOn w:val="BodyText"/>
    <w:qFormat/>
    <w:rsid w:val="00A02A76"/>
    <w:pPr>
      <w:spacing w:after="60"/>
      <w:ind w:left="-2268"/>
    </w:pPr>
    <w:rPr>
      <w:b/>
    </w:rPr>
  </w:style>
  <w:style w:type="paragraph" w:customStyle="1" w:styleId="Heading1TOC">
    <w:name w:val="Heading1 TOC"/>
    <w:basedOn w:val="Normal"/>
    <w:qFormat/>
    <w:rsid w:val="00A02A76"/>
    <w:pPr>
      <w:spacing w:before="240" w:after="120"/>
    </w:pPr>
    <w:rPr>
      <w:rFonts w:ascii="Times New Roman" w:hAnsi="Times New Roman"/>
      <w:b/>
      <w:sz w:val="32"/>
    </w:rPr>
  </w:style>
  <w:style w:type="paragraph" w:customStyle="1" w:styleId="Heading2TOC">
    <w:name w:val="Heading2 TOC"/>
    <w:basedOn w:val="Normal"/>
    <w:qFormat/>
    <w:rsid w:val="00A02A76"/>
    <w:pPr>
      <w:spacing w:before="240" w:after="60"/>
    </w:pPr>
    <w:rPr>
      <w:rFonts w:ascii="Times New Roman" w:hAnsi="Times New Roman"/>
      <w:b/>
      <w:sz w:val="28"/>
    </w:rPr>
  </w:style>
  <w:style w:type="character" w:customStyle="1" w:styleId="Underline">
    <w:name w:val="Underline"/>
    <w:basedOn w:val="DefaultParagraphFont"/>
    <w:qFormat/>
    <w:rsid w:val="00A02A76"/>
    <w:rPr>
      <w:u w:val="single"/>
    </w:rPr>
  </w:style>
  <w:style w:type="character" w:customStyle="1" w:styleId="BoldandItalics">
    <w:name w:val="Bold and Italics"/>
    <w:qFormat/>
    <w:rsid w:val="00A02A76"/>
    <w:rPr>
      <w:b/>
      <w:i/>
      <w:u w:val="none"/>
    </w:rPr>
  </w:style>
  <w:style w:type="paragraph" w:styleId="BalloonText">
    <w:name w:val="Balloon Text"/>
    <w:basedOn w:val="Normal"/>
    <w:link w:val="BalloonTextChar"/>
    <w:rsid w:val="00A02A76"/>
    <w:rPr>
      <w:rFonts w:ascii="Tahoma" w:hAnsi="Tahoma" w:cs="Tahoma"/>
      <w:sz w:val="16"/>
      <w:szCs w:val="16"/>
    </w:rPr>
  </w:style>
  <w:style w:type="character" w:customStyle="1" w:styleId="BalloonTextChar">
    <w:name w:val="Balloon Text Char"/>
    <w:basedOn w:val="DefaultParagraphFont"/>
    <w:link w:val="BalloonText"/>
    <w:rsid w:val="00A02A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2A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2A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2A76"/>
    <w:rPr>
      <w:b/>
      <w:color w:val="660033"/>
      <w:spacing w:val="0"/>
    </w:rPr>
  </w:style>
  <w:style w:type="paragraph" w:customStyle="1" w:styleId="Nameditemlist">
    <w:name w:val="Named item list"/>
    <w:basedOn w:val="BodyText"/>
    <w:qFormat/>
    <w:rsid w:val="00A02A76"/>
    <w:pPr>
      <w:tabs>
        <w:tab w:val="left" w:pos="2835"/>
      </w:tabs>
      <w:ind w:left="2835" w:hanging="2835"/>
    </w:pPr>
  </w:style>
  <w:style w:type="paragraph" w:customStyle="1" w:styleId="BodyTextnopadding">
    <w:name w:val="Body Text no padding"/>
    <w:basedOn w:val="BodyText"/>
    <w:qFormat/>
    <w:rsid w:val="00A02A76"/>
    <w:pPr>
      <w:spacing w:before="0" w:after="0"/>
    </w:pPr>
  </w:style>
  <w:style w:type="paragraph" w:customStyle="1" w:styleId="BodyTextBold">
    <w:name w:val="Body Text Bold"/>
    <w:basedOn w:val="BodyText"/>
    <w:qFormat/>
    <w:rsid w:val="00A02A76"/>
    <w:rPr>
      <w:b/>
    </w:rPr>
  </w:style>
  <w:style w:type="character" w:styleId="Hyperlink">
    <w:name w:val="Hyperlink"/>
    <w:basedOn w:val="DefaultParagraphFont"/>
    <w:uiPriority w:val="99"/>
    <w:unhideWhenUsed/>
    <w:rsid w:val="00070C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4456</Characters>
  <Application>Microsoft Office Word</Application>
  <DocSecurity>0</DocSecurity>
  <Lines>234</Lines>
  <Paragraphs>139</Paragraphs>
  <ScaleCrop>false</ScaleCrop>
  <Company>Author-it Software Corporation Ltd.</Company>
  <LinksUpToDate>false</LinksUpToDate>
  <CharactersWithSpaces>5019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MEM07025 Perform advanced machine and process operation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2023-02-03T06:24:00Z</dcterms:created>
  <dcterms:modified xsi:type="dcterms:W3CDTF">2023-02-03T06:24:00Z</dcterms:modified>
</cp:coreProperties>
</file>