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867" w:rsidP="004A38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MEM07021 Perform complex lathe operations</w:t>
      </w:r>
      <w:r>
        <w:fldChar w:fldCharType="end"/>
      </w:r>
    </w:p>
    <w:p w:rsidR="004A3867" w:rsidP="004A3867">
      <w:pPr>
        <w:pStyle w:val="Version"/>
        <w:sectPr w:rsidSect="00CD76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766C" w:rsidP="00CD766C">
      <w:pPr>
        <w:pStyle w:val="SuperHeading"/>
      </w:pPr>
      <w:r w:rsidRPr="00CD766C">
        <w:t>MEM07021 Perform complex lathe operations</w:t>
      </w:r>
    </w:p>
    <w:p w:rsidR="00000000" w:rsidRPr="00CD766C" w:rsidP="00CD766C">
      <w:pPr>
        <w:pStyle w:val="Heading1"/>
      </w:pPr>
      <w:bookmarkStart w:id="1" w:name="O_1169725"/>
      <w:bookmarkEnd w:id="1"/>
      <w:r w:rsidRPr="00CD766C">
        <w:t>Modification History</w:t>
      </w:r>
    </w:p>
    <w:p w:rsidR="00000000" w:rsidRPr="00CD766C" w:rsidP="004A3867">
      <w:pPr>
        <w:pStyle w:val="BodyText"/>
      </w:pPr>
      <w:r w:rsidRPr="00CD766C">
        <w:t>Release 2. Quantum of hours of workplace practice removed. Supersedes and is equivalent to MEM07021 Perform complex lathe operations (Release 1).</w:t>
      </w:r>
    </w:p>
    <w:p w:rsidR="00000000" w:rsidRPr="00CD766C" w:rsidP="004A3867">
      <w:pPr>
        <w:pStyle w:val="BodyText"/>
      </w:pPr>
      <w:r w:rsidRPr="00CD766C">
        <w:t>Release 1. Supersedes and is equivalent to MEM07021B Perform complex lathe operations.</w:t>
      </w:r>
    </w:p>
    <w:p w:rsidR="00000000" w:rsidRPr="00CD766C" w:rsidP="00CD766C">
      <w:pPr>
        <w:pStyle w:val="Heading1"/>
      </w:pPr>
      <w:bookmarkStart w:id="2" w:name="O_1169724"/>
      <w:bookmarkEnd w:id="2"/>
      <w:r w:rsidRPr="00CD766C">
        <w:t>Application</w:t>
      </w:r>
    </w:p>
    <w:p w:rsidR="00000000" w:rsidRPr="00CD766C" w:rsidP="004A3867">
      <w:pPr>
        <w:pStyle w:val="BodyText"/>
      </w:pPr>
      <w:r w:rsidRPr="00CD766C">
        <w:t>This unit of competency defines the skills and knowledge required to perform complex turning operations on a range of materials, including non-standard metals and alloys.</w:t>
      </w:r>
    </w:p>
    <w:p w:rsidR="00000000" w:rsidRPr="00CD766C" w:rsidP="004A3867">
      <w:pPr>
        <w:pStyle w:val="BodyText"/>
      </w:pPr>
      <w:r w:rsidRPr="00CD766C">
        <w:t>Where the selection and use of power tools/hand held op</w:t>
      </w:r>
      <w:r w:rsidRPr="00CD766C">
        <w:t>erations is required unit MEM18002 Use power tools/hand held operations should also be selected.</w:t>
      </w:r>
    </w:p>
    <w:p w:rsidR="00000000" w:rsidRPr="00CD766C" w:rsidP="004A3867">
      <w:pPr>
        <w:pStyle w:val="BodyText"/>
      </w:pPr>
      <w:r w:rsidRPr="00CD766C">
        <w:t xml:space="preserve">No licensing, legislative or certification requirements apply to this unit at the time of publication. </w:t>
      </w:r>
    </w:p>
    <w:p w:rsidR="00000000" w:rsidRPr="00CD766C" w:rsidP="00CD766C">
      <w:pPr>
        <w:pStyle w:val="BodyText"/>
      </w:pPr>
      <w:r w:rsidRPr="00CD766C">
        <w:rPr>
          <w:rStyle w:val="SpecialBold"/>
        </w:rPr>
        <w:t>Band:</w:t>
      </w:r>
      <w:r w:rsidRPr="00CD766C">
        <w:rPr>
          <w:rStyle w:val="SpecialBold"/>
        </w:rPr>
        <w:tab/>
        <w:t>A</w:t>
      </w:r>
    </w:p>
    <w:p w:rsidR="00000000" w:rsidRPr="00CD766C" w:rsidP="00CD766C">
      <w:pPr>
        <w:pStyle w:val="BodyText"/>
      </w:pPr>
      <w:r w:rsidRPr="00CD766C">
        <w:rPr>
          <w:rStyle w:val="SpecialBold"/>
        </w:rPr>
        <w:t>Unit Weight:</w:t>
      </w:r>
      <w:r w:rsidRPr="00CD766C">
        <w:rPr>
          <w:rStyle w:val="SpecialBold"/>
        </w:rPr>
        <w:tab/>
        <w:t>4</w:t>
      </w:r>
    </w:p>
    <w:p w:rsidR="00000000" w:rsidRPr="00CD766C" w:rsidP="00CD766C">
      <w:pPr>
        <w:pStyle w:val="AllowPageBreak"/>
      </w:pPr>
    </w:p>
    <w:p w:rsidR="00000000" w:rsidRPr="00CD766C" w:rsidP="00CD766C">
      <w:pPr>
        <w:pStyle w:val="Heading1"/>
      </w:pPr>
      <w:bookmarkStart w:id="3" w:name="O_1169723"/>
      <w:bookmarkEnd w:id="3"/>
      <w:r w:rsidRPr="00CD766C">
        <w:t>Pre-requisi</w:t>
      </w:r>
      <w:r w:rsidRPr="00CD766C">
        <w:t>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Perform general machining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MEM07006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Perform lathe operations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Interpret technical drawing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Undertake manual handling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MEM12003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Perform precision mechanical measurement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Perform engineering measurements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Perform computations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Work safely and effectively in manufacturing and engineering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Plan work activities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Organise and communicate information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6C" w:rsidP="00CD766C">
            <w:pPr>
              <w:pStyle w:val="BodyText"/>
            </w:pPr>
            <w:r w:rsidRPr="00CD766C">
              <w:t>Use hand tools</w:t>
            </w:r>
          </w:p>
        </w:tc>
      </w:tr>
    </w:tbl>
    <w:p w:rsidR="00000000" w:rsidRPr="00CD766C" w:rsidP="00CD766C">
      <w:pPr>
        <w:pStyle w:val="BodyText"/>
      </w:pPr>
    </w:p>
    <w:p w:rsidR="00000000" w:rsidRPr="00CD766C" w:rsidP="00CD766C">
      <w:pPr>
        <w:pStyle w:val="AllowPageBreak"/>
      </w:pPr>
    </w:p>
    <w:p w:rsidR="00000000" w:rsidRPr="00CD766C" w:rsidP="00CD766C">
      <w:pPr>
        <w:pStyle w:val="Heading1"/>
      </w:pPr>
      <w:bookmarkStart w:id="4" w:name="O_1169722"/>
      <w:bookmarkEnd w:id="4"/>
      <w:r w:rsidRPr="00CD766C">
        <w:t>Competency Field</w:t>
      </w:r>
    </w:p>
    <w:p w:rsidR="00000000" w:rsidRPr="00CD766C" w:rsidP="004A3867">
      <w:pPr>
        <w:pStyle w:val="BodyText"/>
      </w:pPr>
      <w:r w:rsidRPr="00CD766C">
        <w:t>Machine and process operations</w:t>
      </w:r>
    </w:p>
    <w:p w:rsidR="00000000" w:rsidRPr="00CD766C" w:rsidP="00CD766C">
      <w:pPr>
        <w:pStyle w:val="Heading1"/>
      </w:pPr>
      <w:bookmarkStart w:id="5" w:name="O_1169721"/>
      <w:bookmarkEnd w:id="5"/>
      <w:r w:rsidRPr="00CD76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Performance criteria describe the performance needed to demonstrate achievement of the element.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6C" w:rsidP="00CD766C">
            <w:pPr>
              <w:pStyle w:val="BodyText"/>
            </w:pPr>
            <w:r w:rsidRPr="00CD766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Follow standard operating procedures (SOPs)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Comply with work health and safety (WHS) requirements at all times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Use appropriate personal protective equipment (PPE) in accordance with SOPs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Identify job requirements from specifications, drawings, job sheets or work instructions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6C" w:rsidP="00CD766C">
            <w:pPr>
              <w:pStyle w:val="BodyText"/>
            </w:pPr>
            <w:r w:rsidRPr="00CD766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rPr>
                <w:rStyle w:val="SpecialBold"/>
              </w:rPr>
              <w:t>Set up work on lathe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Determine sequence of operations, including job set-up, for maximum efficiency to meet job specifications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Set up work on the l</w:t>
            </w:r>
            <w:r w:rsidRPr="00CD766C">
              <w:t xml:space="preserve">athe to required level of accuracy using precision instruments, including dial test indicators 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Balance work piece when using face plates to ensure accuracy in machining, as required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 xml:space="preserve">Set up work piece to ensure that work piece is free of distortion following completion of machining 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6C" w:rsidP="00CD766C">
            <w:pPr>
              <w:pStyle w:val="BodyText"/>
            </w:pPr>
            <w:r w:rsidRPr="00CD766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rPr>
                <w:rStyle w:val="SpecialBold"/>
              </w:rPr>
              <w:t>Select and prepare tooling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Select tooling, accessories and consumables appropriate to task, specifications and material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Determine cutting tool modifications required to perform complex turning operations, where appropriate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Prepare tooling and accessories and modify, as required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Apply International Standard Organisation (ISO) standards for cutting tools or othe</w:t>
            </w:r>
            <w:r w:rsidRPr="00CD766C">
              <w:t xml:space="preserve">r appropriate standards to suit cutting parameters 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6C" w:rsidP="00CD766C">
            <w:pPr>
              <w:pStyle w:val="BodyText"/>
            </w:pPr>
            <w:r w:rsidRPr="00CD766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rPr>
                <w:rStyle w:val="SpecialBold"/>
              </w:rPr>
              <w:t>Perform complex turning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Calculate speeds and feeds using appropriate mathematical techniques and reference material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Undertake complex turning to specifications and workplace procedures</w:t>
            </w:r>
          </w:p>
        </w:tc>
      </w:tr>
      <w:tr w:rsidTr="00CD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6C" w:rsidP="00CD766C">
            <w:pPr>
              <w:pStyle w:val="BodyText"/>
            </w:pPr>
            <w:r w:rsidRPr="00CD766C">
              <w:t>Measure work piece and verify in accordance with specifications using precision measuring equipment</w:t>
            </w:r>
          </w:p>
        </w:tc>
      </w:tr>
    </w:tbl>
    <w:p w:rsidR="00000000" w:rsidRPr="00CD766C" w:rsidP="00CD766C">
      <w:pPr>
        <w:pStyle w:val="BodyText"/>
      </w:pPr>
    </w:p>
    <w:p w:rsidR="00000000" w:rsidRPr="00CD766C" w:rsidP="00CD766C">
      <w:pPr>
        <w:pStyle w:val="AllowPageBreak"/>
      </w:pPr>
    </w:p>
    <w:p w:rsidR="00000000" w:rsidRPr="00CD766C" w:rsidP="00CD766C">
      <w:pPr>
        <w:pStyle w:val="Heading1"/>
      </w:pPr>
      <w:bookmarkStart w:id="6" w:name="O_1169720"/>
      <w:bookmarkEnd w:id="6"/>
      <w:r w:rsidRPr="00CD766C">
        <w:t>Foundation Skills</w:t>
      </w:r>
    </w:p>
    <w:p w:rsidR="00000000" w:rsidRPr="00CD766C" w:rsidP="004A3867">
      <w:pPr>
        <w:pStyle w:val="BodyText"/>
      </w:pPr>
      <w:r w:rsidRPr="00CD766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D766C" w:rsidP="004A3867">
      <w:pPr>
        <w:pStyle w:val="BodyText"/>
      </w:pPr>
      <w:r w:rsidRPr="00CD766C">
        <w:t xml:space="preserve">Foundation skills essential to performance are explicit in the performance criteria </w:t>
      </w:r>
      <w:r w:rsidRPr="00CD766C">
        <w:t>of this unit of competency.</w:t>
      </w:r>
    </w:p>
    <w:p w:rsidR="00000000" w:rsidRPr="00CD766C" w:rsidP="00CD766C">
      <w:pPr>
        <w:pStyle w:val="Heading1"/>
      </w:pPr>
      <w:bookmarkStart w:id="7" w:name="O_1169719"/>
      <w:bookmarkEnd w:id="7"/>
      <w:r w:rsidRPr="00CD766C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CD766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t>This field allows for different work environments and conditions that may affect performance. Essential operating conditions that may be present (depending on the work situation, accessibil</w:t>
            </w:r>
            <w:r w:rsidRPr="00CD766C">
              <w:t>ity of the item, and local industry and regional contexts) are included.</w:t>
            </w:r>
          </w:p>
        </w:tc>
      </w:tr>
      <w:tr w:rsidTr="00CD766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rPr>
                <w:rStyle w:val="SpecialBold"/>
              </w:rPr>
              <w:t>Tooling includes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6C" w:rsidP="00CD766C">
            <w:pPr>
              <w:pStyle w:val="ListBullet"/>
            </w:pPr>
            <w:r w:rsidRPr="00CD766C">
              <w:t>cutting tools</w:t>
            </w:r>
          </w:p>
          <w:p w:rsidR="00000000" w:rsidRPr="00CD766C" w:rsidP="00CD766C">
            <w:pPr>
              <w:pStyle w:val="ListBullet"/>
            </w:pPr>
            <w:r w:rsidRPr="00CD766C">
              <w:t>form tools</w:t>
            </w:r>
          </w:p>
          <w:p w:rsidR="00000000" w:rsidRPr="00CD766C" w:rsidP="00CD766C">
            <w:pPr>
              <w:pStyle w:val="ListBullet"/>
            </w:pPr>
            <w:r w:rsidRPr="00CD766C">
              <w:t>boring bars</w:t>
            </w:r>
          </w:p>
          <w:p w:rsidR="00000000" w:rsidRPr="00CD766C" w:rsidP="00CD766C">
            <w:pPr>
              <w:pStyle w:val="ListBullet"/>
            </w:pPr>
            <w:r w:rsidRPr="00CD766C">
              <w:t>drills</w:t>
            </w:r>
          </w:p>
          <w:p w:rsidR="00000000" w:rsidRPr="00CD766C" w:rsidP="00CD766C">
            <w:pPr>
              <w:pStyle w:val="ListBullet"/>
            </w:pPr>
            <w:r w:rsidRPr="00CD766C">
              <w:t>reamers</w:t>
            </w:r>
          </w:p>
          <w:p w:rsidR="00000000" w:rsidRPr="00CD766C" w:rsidP="00CD766C">
            <w:pPr>
              <w:pStyle w:val="ListBullet"/>
            </w:pPr>
            <w:r w:rsidRPr="00CD766C">
              <w:t>thread chasers</w:t>
            </w:r>
          </w:p>
          <w:p w:rsidR="00000000" w:rsidRPr="00CD766C" w:rsidP="00CD766C">
            <w:pPr>
              <w:pStyle w:val="ListBullet"/>
            </w:pPr>
            <w:r w:rsidRPr="00CD766C">
              <w:t>tapping heads</w:t>
            </w:r>
          </w:p>
          <w:p w:rsidR="00000000" w:rsidRPr="00CD766C" w:rsidP="00CD766C">
            <w:pPr>
              <w:pStyle w:val="ListBullet"/>
            </w:pPr>
            <w:r w:rsidRPr="00CD766C">
              <w:t xml:space="preserve">taps </w:t>
            </w:r>
          </w:p>
          <w:p w:rsidR="00000000" w:rsidP="00CD766C">
            <w:pPr>
              <w:pStyle w:val="BodyText"/>
              <w:rPr>
                <w:lang w:val="en-NZ"/>
              </w:rPr>
            </w:pPr>
          </w:p>
        </w:tc>
      </w:tr>
      <w:tr w:rsidTr="00CD766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6C">
            <w:pPr>
              <w:pStyle w:val="BodyText"/>
              <w:rPr>
                <w:lang w:val="en-NZ"/>
              </w:rPr>
            </w:pPr>
            <w:r w:rsidRPr="00CD766C">
              <w:rPr>
                <w:rStyle w:val="SpecialBold"/>
              </w:rPr>
              <w:t>Complex turning includes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6C" w:rsidP="00CD766C">
            <w:pPr>
              <w:pStyle w:val="ListBullet"/>
            </w:pPr>
            <w:r w:rsidRPr="00CD766C">
              <w:t>single-start and multi-start thread cutting</w:t>
            </w:r>
          </w:p>
          <w:p w:rsidR="00000000" w:rsidRPr="00CD766C" w:rsidP="00CD766C">
            <w:pPr>
              <w:pStyle w:val="ListBullet"/>
            </w:pPr>
            <w:r w:rsidRPr="00CD766C">
              <w:t>internal blind hole thread cutting</w:t>
            </w:r>
          </w:p>
          <w:p w:rsidR="00000000" w:rsidRPr="00CD766C" w:rsidP="00CD766C">
            <w:pPr>
              <w:pStyle w:val="ListBullet"/>
            </w:pPr>
            <w:r w:rsidRPr="00CD766C">
              <w:t>eccentrics</w:t>
            </w:r>
          </w:p>
          <w:p w:rsidR="00000000" w:rsidRPr="00CD766C" w:rsidP="00CD766C">
            <w:pPr>
              <w:pStyle w:val="ListBullet"/>
            </w:pPr>
            <w:r w:rsidRPr="00CD766C">
              <w:t>copy and taper turning</w:t>
            </w:r>
          </w:p>
          <w:p w:rsidR="00000000" w:rsidRPr="00CD766C" w:rsidP="00CD766C">
            <w:pPr>
              <w:pStyle w:val="ListBullet"/>
            </w:pPr>
            <w:r w:rsidRPr="00CD766C">
              <w:t>counterbalancing work on face plates</w:t>
            </w:r>
          </w:p>
          <w:p w:rsidR="00000000" w:rsidRPr="00CD766C" w:rsidP="00CD766C">
            <w:pPr>
              <w:pStyle w:val="ListBullet"/>
            </w:pPr>
            <w:r w:rsidRPr="00CD766C">
              <w:t>mandrel work</w:t>
            </w:r>
          </w:p>
          <w:p w:rsidR="00000000" w:rsidRPr="00CD766C" w:rsidP="00CD766C">
            <w:pPr>
              <w:pStyle w:val="ListBullet"/>
            </w:pPr>
            <w:r w:rsidRPr="00CD766C">
              <w:t>trepanning</w:t>
            </w:r>
          </w:p>
          <w:p w:rsidR="00000000" w:rsidRPr="00CD766C" w:rsidP="00CD766C">
            <w:pPr>
              <w:pStyle w:val="ListBullet"/>
            </w:pPr>
            <w:r w:rsidRPr="00CD766C">
              <w:t>heavy (multi-tonne) sh</w:t>
            </w:r>
            <w:r w:rsidRPr="00CD766C">
              <w:t>afts</w:t>
            </w:r>
          </w:p>
          <w:p w:rsidR="00000000" w:rsidRPr="00CD766C" w:rsidP="00CD766C">
            <w:pPr>
              <w:pStyle w:val="BodyText"/>
            </w:pPr>
          </w:p>
        </w:tc>
      </w:tr>
    </w:tbl>
    <w:p w:rsidR="00000000" w:rsidRPr="00CD766C" w:rsidP="00CD766C">
      <w:pPr>
        <w:pStyle w:val="BodyText"/>
      </w:pPr>
    </w:p>
    <w:p w:rsidR="00000000" w:rsidRPr="00CD766C" w:rsidP="00CD766C">
      <w:pPr>
        <w:pStyle w:val="AllowPageBreak"/>
      </w:pPr>
    </w:p>
    <w:p w:rsidR="00000000" w:rsidRPr="00CD766C" w:rsidP="00CD766C">
      <w:pPr>
        <w:pStyle w:val="Heading1"/>
      </w:pPr>
      <w:bookmarkStart w:id="8" w:name="O_1169718"/>
      <w:bookmarkEnd w:id="8"/>
      <w:r w:rsidRPr="00CD766C">
        <w:t>Unit Mapping Information</w:t>
      </w:r>
    </w:p>
    <w:p w:rsidR="00000000" w:rsidRPr="00CD766C" w:rsidP="004A3867">
      <w:pPr>
        <w:pStyle w:val="BodyText"/>
      </w:pPr>
      <w:r w:rsidRPr="00CD766C">
        <w:t>Release 2. Supersedes and is equivalent to MEM07021 Perform complex lathe operations (Release 1).</w:t>
      </w:r>
    </w:p>
    <w:p w:rsidR="00000000" w:rsidRPr="00CD766C" w:rsidP="004A3867">
      <w:pPr>
        <w:pStyle w:val="BodyText"/>
      </w:pPr>
      <w:r w:rsidRPr="00CD766C">
        <w:t>Release 1. Supersedes and is equivalent to MEM07021B Perform complex lathe operations.</w:t>
      </w:r>
    </w:p>
    <w:p w:rsidR="00000000" w:rsidRPr="00CD766C" w:rsidP="00CD766C">
      <w:pPr>
        <w:pStyle w:val="Heading1"/>
      </w:pPr>
      <w:bookmarkStart w:id="9" w:name="O_1169726"/>
      <w:bookmarkEnd w:id="9"/>
      <w:r w:rsidRPr="00CD766C">
        <w:t>Links</w:t>
      </w:r>
    </w:p>
    <w:p w:rsidR="00000000" w:rsidRPr="00CD766C" w:rsidP="004A3867">
      <w:pPr>
        <w:pStyle w:val="BodyText"/>
      </w:pPr>
      <w:r w:rsidRPr="00CD76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54A8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D766C" w:rsidP="00CD766C"/>
    <w:sectPr w:rsidSect="00CD76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6C" w:rsidRPr="004A3867" w:rsidP="004A38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67" w:rsidP="00CD76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3867" w:rsidP="00CD76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3867" w:rsidP="00CD76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66C" w:rsidRPr="004A3867" w:rsidP="004A38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67" w:rsidRPr="002D2AF8" w:rsidP="00CD76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MEM07021 Perform complex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A3867" w:rsidP="00CD76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589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222F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6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6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6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6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6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6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6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6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6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6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66C"/>
  </w:style>
  <w:style w:type="character" w:customStyle="1" w:styleId="Heading1Char">
    <w:name w:val="Heading 1 Char"/>
    <w:basedOn w:val="DefaultParagraphFont"/>
    <w:link w:val="Heading1"/>
    <w:rsid w:val="00CD76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6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6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76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766C"/>
    <w:rPr>
      <w:b/>
      <w:spacing w:val="0"/>
    </w:rPr>
  </w:style>
  <w:style w:type="paragraph" w:customStyle="1" w:styleId="SuperHeading">
    <w:name w:val="SuperHeading"/>
    <w:basedOn w:val="Normal"/>
    <w:rsid w:val="00CD76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6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6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6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6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6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6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6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6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6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6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6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6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6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6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6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6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76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6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6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6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6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6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6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6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6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6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6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6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6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6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66C"/>
    <w:rPr>
      <w:i/>
    </w:rPr>
  </w:style>
  <w:style w:type="paragraph" w:styleId="Caption">
    <w:name w:val="caption"/>
    <w:basedOn w:val="BodyText"/>
    <w:next w:val="Normal"/>
    <w:qFormat/>
    <w:rsid w:val="00CD76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6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6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66C"/>
  </w:style>
  <w:style w:type="paragraph" w:styleId="TableofFigures">
    <w:name w:val="table of figures"/>
    <w:basedOn w:val="Normal"/>
    <w:next w:val="Normal"/>
    <w:semiHidden/>
    <w:rsid w:val="00CD76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6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766C"/>
    <w:rPr>
      <w:rFonts w:ascii="Wingdings" w:hAnsi="Wingdings"/>
    </w:rPr>
  </w:style>
  <w:style w:type="paragraph" w:customStyle="1" w:styleId="TableHeading">
    <w:name w:val="Table Heading"/>
    <w:basedOn w:val="HeadingBase"/>
    <w:rsid w:val="00CD76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66C"/>
    <w:rPr>
      <w:color w:val="0033CC"/>
      <w:u w:val="none"/>
    </w:rPr>
  </w:style>
  <w:style w:type="paragraph" w:customStyle="1" w:styleId="BodyTextRight">
    <w:name w:val="Body Text Right"/>
    <w:basedOn w:val="BodyText"/>
    <w:rsid w:val="00CD76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6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6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6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6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6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66C"/>
    <w:rPr>
      <w:sz w:val="32"/>
    </w:rPr>
  </w:style>
  <w:style w:type="paragraph" w:customStyle="1" w:styleId="HeadingProcedure">
    <w:name w:val="Heading Procedure"/>
    <w:basedOn w:val="HeadingBase"/>
    <w:next w:val="Normal"/>
    <w:rsid w:val="00CD76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66C"/>
    <w:pPr>
      <w:spacing w:before="60" w:after="60"/>
    </w:pPr>
  </w:style>
  <w:style w:type="paragraph" w:styleId="ListContinue">
    <w:name w:val="List Continue"/>
    <w:basedOn w:val="List"/>
    <w:rsid w:val="00CD766C"/>
    <w:pPr>
      <w:ind w:firstLine="0"/>
    </w:pPr>
  </w:style>
  <w:style w:type="paragraph" w:customStyle="1" w:styleId="ListNote">
    <w:name w:val="List Note"/>
    <w:basedOn w:val="List"/>
    <w:rsid w:val="00CD76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6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6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66C"/>
    <w:rPr>
      <w:rFonts w:ascii="Courier New" w:hAnsi="Courier New"/>
    </w:rPr>
  </w:style>
  <w:style w:type="paragraph" w:customStyle="1" w:styleId="NoteBullet">
    <w:name w:val="Note Bullet"/>
    <w:basedOn w:val="Note"/>
    <w:rsid w:val="00CD76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6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6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6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6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76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6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66C"/>
    <w:rPr>
      <w:b/>
      <w:smallCaps/>
    </w:rPr>
  </w:style>
  <w:style w:type="paragraph" w:customStyle="1" w:styleId="TableListNumber">
    <w:name w:val="Table List Number"/>
    <w:basedOn w:val="ListNumber"/>
    <w:rsid w:val="00CD76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6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66C"/>
    <w:pPr>
      <w:numPr>
        <w:numId w:val="8"/>
      </w:numPr>
    </w:pPr>
  </w:style>
  <w:style w:type="paragraph" w:customStyle="1" w:styleId="ListAlpha2">
    <w:name w:val="List Alpha 2"/>
    <w:basedOn w:val="List2"/>
    <w:rsid w:val="00CD766C"/>
    <w:pPr>
      <w:numPr>
        <w:numId w:val="7"/>
      </w:numPr>
    </w:pPr>
  </w:style>
  <w:style w:type="paragraph" w:styleId="List2">
    <w:name w:val="List 2"/>
    <w:basedOn w:val="BodyText"/>
    <w:rsid w:val="00CD76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6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6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6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6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6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766C"/>
    <w:pPr>
      <w:numPr>
        <w:numId w:val="3"/>
      </w:numPr>
    </w:pPr>
  </w:style>
  <w:style w:type="paragraph" w:styleId="ListContinue2">
    <w:name w:val="List Continue 2"/>
    <w:basedOn w:val="List2"/>
    <w:rsid w:val="00CD766C"/>
    <w:pPr>
      <w:ind w:firstLine="0"/>
    </w:pPr>
  </w:style>
  <w:style w:type="paragraph" w:styleId="ListContinue3">
    <w:name w:val="List Continue 3"/>
    <w:basedOn w:val="List3"/>
    <w:rsid w:val="00CD766C"/>
    <w:pPr>
      <w:ind w:left="1021" w:firstLine="0"/>
    </w:pPr>
  </w:style>
  <w:style w:type="paragraph" w:styleId="ListContinue4">
    <w:name w:val="List Continue 4"/>
    <w:basedOn w:val="List4"/>
    <w:rsid w:val="00CD766C"/>
    <w:pPr>
      <w:ind w:firstLine="0"/>
    </w:pPr>
  </w:style>
  <w:style w:type="paragraph" w:styleId="ListContinue5">
    <w:name w:val="List Continue 5"/>
    <w:basedOn w:val="List5"/>
    <w:rsid w:val="00CD766C"/>
    <w:pPr>
      <w:ind w:firstLine="0"/>
    </w:pPr>
  </w:style>
  <w:style w:type="paragraph" w:styleId="ListNumber3">
    <w:name w:val="List Number 3"/>
    <w:basedOn w:val="List3"/>
    <w:rsid w:val="00CD766C"/>
    <w:pPr>
      <w:numPr>
        <w:numId w:val="4"/>
      </w:numPr>
    </w:pPr>
  </w:style>
  <w:style w:type="paragraph" w:styleId="ListNumber4">
    <w:name w:val="List Number 4"/>
    <w:basedOn w:val="List4"/>
    <w:rsid w:val="00CD766C"/>
    <w:pPr>
      <w:numPr>
        <w:numId w:val="5"/>
      </w:numPr>
    </w:pPr>
  </w:style>
  <w:style w:type="paragraph" w:styleId="ListNumber5">
    <w:name w:val="List Number 5"/>
    <w:basedOn w:val="List5"/>
    <w:rsid w:val="00CD766C"/>
    <w:pPr>
      <w:numPr>
        <w:numId w:val="6"/>
      </w:numPr>
    </w:pPr>
  </w:style>
  <w:style w:type="paragraph" w:styleId="BlockText">
    <w:name w:val="Block Text"/>
    <w:basedOn w:val="Normal"/>
    <w:rsid w:val="00CD76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6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66C"/>
    <w:rPr>
      <w:sz w:val="16"/>
      <w:vertAlign w:val="superscript"/>
    </w:rPr>
  </w:style>
  <w:style w:type="character" w:customStyle="1" w:styleId="Symbols">
    <w:name w:val="Symbols"/>
    <w:basedOn w:val="DefaultParagraphFont"/>
    <w:rsid w:val="00CD766C"/>
    <w:rPr>
      <w:rFonts w:ascii="Symbol" w:hAnsi="Symbol"/>
    </w:rPr>
  </w:style>
  <w:style w:type="character" w:customStyle="1" w:styleId="MenuOptions">
    <w:name w:val="Menu Options"/>
    <w:basedOn w:val="DefaultParagraphFont"/>
    <w:rsid w:val="00CD76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66C"/>
    <w:rPr>
      <w:b/>
    </w:rPr>
  </w:style>
  <w:style w:type="character" w:customStyle="1" w:styleId="Underlined">
    <w:name w:val="Underlined"/>
    <w:basedOn w:val="DefaultParagraphFont"/>
    <w:rsid w:val="00CD766C"/>
    <w:rPr>
      <w:u w:val="single"/>
    </w:rPr>
  </w:style>
  <w:style w:type="paragraph" w:customStyle="1" w:styleId="TableBodyTextRight">
    <w:name w:val="Table Body Text Right"/>
    <w:basedOn w:val="TableBodyText"/>
    <w:rsid w:val="00CD76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66C"/>
    <w:rPr>
      <w:sz w:val="18"/>
    </w:rPr>
  </w:style>
  <w:style w:type="paragraph" w:customStyle="1" w:styleId="BodySmallRight">
    <w:name w:val="Body Small Right"/>
    <w:basedOn w:val="BodyTextRight"/>
    <w:rsid w:val="00CD766C"/>
    <w:rPr>
      <w:sz w:val="18"/>
      <w:szCs w:val="18"/>
    </w:rPr>
  </w:style>
  <w:style w:type="paragraph" w:customStyle="1" w:styleId="MarginEdition">
    <w:name w:val="Margin Edition"/>
    <w:basedOn w:val="MarginNote"/>
    <w:rsid w:val="00CD76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66C"/>
    <w:rPr>
      <w:sz w:val="2"/>
      <w:szCs w:val="2"/>
    </w:rPr>
  </w:style>
  <w:style w:type="character" w:customStyle="1" w:styleId="Small">
    <w:name w:val="Small"/>
    <w:basedOn w:val="DefaultParagraphFont"/>
    <w:rsid w:val="00CD766C"/>
    <w:rPr>
      <w:sz w:val="16"/>
    </w:rPr>
  </w:style>
  <w:style w:type="paragraph" w:customStyle="1" w:styleId="WideTable">
    <w:name w:val="Wide Table"/>
    <w:basedOn w:val="Normal"/>
    <w:rsid w:val="00CD76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66C"/>
  </w:style>
  <w:style w:type="paragraph" w:styleId="Quote">
    <w:name w:val="Quote"/>
    <w:basedOn w:val="Heading1"/>
    <w:link w:val="QuoteChar"/>
    <w:qFormat/>
    <w:rsid w:val="00CD76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6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66C"/>
    <w:pPr>
      <w:pageBreakBefore/>
    </w:pPr>
  </w:style>
  <w:style w:type="paragraph" w:customStyle="1" w:styleId="Border">
    <w:name w:val="Border"/>
    <w:basedOn w:val="Normal"/>
    <w:qFormat/>
    <w:rsid w:val="00CD76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6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6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6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6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6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6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6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66C"/>
    <w:rPr>
      <w:u w:val="single"/>
    </w:rPr>
  </w:style>
  <w:style w:type="character" w:customStyle="1" w:styleId="BoldandItalics">
    <w:name w:val="Bold and Italics"/>
    <w:qFormat/>
    <w:rsid w:val="00CD766C"/>
    <w:rPr>
      <w:b/>
      <w:i/>
      <w:u w:val="none"/>
    </w:rPr>
  </w:style>
  <w:style w:type="paragraph" w:styleId="BalloonText">
    <w:name w:val="Balloon Text"/>
    <w:basedOn w:val="Normal"/>
    <w:link w:val="BalloonTextChar"/>
    <w:rsid w:val="00CD7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6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6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6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6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6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66C"/>
    <w:pPr>
      <w:spacing w:before="0" w:after="0"/>
    </w:pPr>
  </w:style>
  <w:style w:type="paragraph" w:customStyle="1" w:styleId="BodyTextBold">
    <w:name w:val="Body Text Bold"/>
    <w:basedOn w:val="BodyText"/>
    <w:qFormat/>
    <w:rsid w:val="00CD766C"/>
    <w:rPr>
      <w:b/>
    </w:rPr>
  </w:style>
  <w:style w:type="character" w:styleId="Hyperlink">
    <w:name w:val="Hyperlink"/>
    <w:basedOn w:val="DefaultParagraphFont"/>
    <w:uiPriority w:val="99"/>
    <w:unhideWhenUsed/>
    <w:rsid w:val="004A3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3946</Characters>
  <Application>Microsoft Office Word</Application>
  <DocSecurity>0</DocSecurity>
  <Lines>197</Lines>
  <Paragraphs>126</Paragraphs>
  <ScaleCrop>false</ScaleCrop>
  <Company>Author-it Software Corporation Ltd.</Company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MEM07021 Perform complex lathe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2023-02-03T07:18:00Z</dcterms:created>
  <dcterms:modified xsi:type="dcterms:W3CDTF">2023-02-03T07:18:00Z</dcterms:modified>
</cp:coreProperties>
</file>