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7BEB" w:rsidP="007B7BEB">
      <w:pPr>
        <w:pStyle w:val="Title"/>
      </w:pPr>
      <w:r>
        <w:fldChar w:fldCharType="begin"/>
      </w:r>
      <w:r>
        <w:instrText xml:space="preserve"> TITLE   \* MERGEFORMAT </w:instrText>
      </w:r>
      <w:r>
        <w:fldChar w:fldCharType="separate"/>
      </w:r>
      <w:r>
        <w:t>MEM07015 Set computer controlled machines and processes</w:t>
      </w:r>
      <w:r>
        <w:fldChar w:fldCharType="end"/>
      </w:r>
    </w:p>
    <w:p w:rsidR="007B7BEB" w:rsidP="007B7BEB">
      <w:pPr>
        <w:pStyle w:val="Version"/>
        <w:sectPr w:rsidSect="00C25E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25EF2" w:rsidP="00C25EF2">
      <w:pPr>
        <w:pStyle w:val="SuperHeading"/>
      </w:pPr>
      <w:r w:rsidRPr="00C25EF2">
        <w:t>MEM07015 Set computer controlled machines and processes</w:t>
      </w:r>
    </w:p>
    <w:p w:rsidR="00000000" w:rsidRPr="00C25EF2" w:rsidP="00C25EF2">
      <w:pPr>
        <w:pStyle w:val="Heading1"/>
      </w:pPr>
      <w:bookmarkStart w:id="1" w:name="O_1169633"/>
      <w:bookmarkEnd w:id="1"/>
      <w:r w:rsidRPr="00C25EF2">
        <w:t>Modification History</w:t>
      </w:r>
    </w:p>
    <w:p w:rsidR="00000000" w:rsidRPr="00C25EF2" w:rsidP="007B7BEB">
      <w:pPr>
        <w:pStyle w:val="BodyText"/>
      </w:pPr>
      <w:r w:rsidRPr="00C25EF2">
        <w:t>Release 2. Quantum of hours of workplace practice removed. Supersedes and is equivalent to MEM07015 Set computer controlled machines and processes (Release 1).</w:t>
      </w:r>
    </w:p>
    <w:p w:rsidR="00000000" w:rsidRPr="00C25EF2" w:rsidP="007B7BEB">
      <w:pPr>
        <w:pStyle w:val="BodyText"/>
      </w:pPr>
      <w:r w:rsidRPr="00C25EF2">
        <w:t xml:space="preserve">Release 1. Supersedes and is equivalent to MEM07015B Set </w:t>
      </w:r>
      <w:r w:rsidRPr="00C25EF2">
        <w:t>computer controlled machines and processes.</w:t>
      </w:r>
    </w:p>
    <w:p w:rsidR="00000000" w:rsidRPr="00C25EF2" w:rsidP="00C25EF2">
      <w:pPr>
        <w:pStyle w:val="Heading1"/>
      </w:pPr>
      <w:bookmarkStart w:id="2" w:name="O_1169632"/>
      <w:bookmarkEnd w:id="2"/>
      <w:r w:rsidRPr="00C25EF2">
        <w:t>Application</w:t>
      </w:r>
    </w:p>
    <w:p w:rsidR="00000000" w:rsidRPr="00C25EF2" w:rsidP="007B7BEB">
      <w:pPr>
        <w:pStyle w:val="BodyText"/>
      </w:pPr>
      <w:r w:rsidRPr="00C25EF2">
        <w:t>This unit of competency defines the skills and knowledge required to set computer controlled machines and processes.</w:t>
      </w:r>
    </w:p>
    <w:p w:rsidR="00000000" w:rsidRPr="00C25EF2" w:rsidP="007B7BEB">
      <w:pPr>
        <w:pStyle w:val="BodyText"/>
      </w:pPr>
      <w:r w:rsidRPr="00C25EF2">
        <w:t>All technical difficulties are resolved in consultation with ap</w:t>
      </w:r>
      <w:r w:rsidRPr="00C25EF2">
        <w:t>propriate technical advisers.</w:t>
      </w:r>
    </w:p>
    <w:p w:rsidR="00000000" w:rsidRPr="00C25EF2" w:rsidP="007B7BEB">
      <w:pPr>
        <w:pStyle w:val="BodyText"/>
      </w:pPr>
      <w:r w:rsidRPr="00C25EF2">
        <w:t>Where the setting of non-computer controlled machines or processes is required unit MEM07003 Perform routine machine setting should be selected.</w:t>
      </w:r>
    </w:p>
    <w:p w:rsidR="00000000" w:rsidRPr="00C25EF2" w:rsidP="007B7BEB">
      <w:pPr>
        <w:pStyle w:val="BodyText"/>
      </w:pPr>
      <w:r w:rsidRPr="00C25EF2">
        <w:t>Where the selection and use of general machining is required unit MEM07005 Perf</w:t>
      </w:r>
      <w:r w:rsidRPr="00C25EF2">
        <w:t>orm general machining should be selected.</w:t>
      </w:r>
    </w:p>
    <w:p w:rsidR="00000000" w:rsidRPr="00C25EF2" w:rsidP="007B7BEB">
      <w:pPr>
        <w:pStyle w:val="BodyText"/>
      </w:pPr>
      <w:r w:rsidRPr="00C25EF2">
        <w:t>No licensing, legislative or certification requirements apply to this unit at the time of publication.</w:t>
      </w:r>
    </w:p>
    <w:p w:rsidR="00000000" w:rsidRPr="00C25EF2" w:rsidP="00C25EF2">
      <w:pPr>
        <w:pStyle w:val="BodyText"/>
      </w:pPr>
      <w:r w:rsidRPr="00C25EF2">
        <w:rPr>
          <w:rStyle w:val="SpecialBold"/>
        </w:rPr>
        <w:t>Band:</w:t>
      </w:r>
      <w:r w:rsidRPr="00C25EF2">
        <w:rPr>
          <w:rStyle w:val="SpecialBold"/>
        </w:rPr>
        <w:tab/>
        <w:t>A</w:t>
      </w:r>
    </w:p>
    <w:p w:rsidR="00000000" w:rsidRPr="00C25EF2" w:rsidP="00C25EF2">
      <w:pPr>
        <w:pStyle w:val="BodyText"/>
      </w:pPr>
      <w:r w:rsidRPr="00C25EF2">
        <w:rPr>
          <w:rStyle w:val="SpecialBold"/>
        </w:rPr>
        <w:t>Unit Weight:</w:t>
      </w:r>
      <w:r w:rsidRPr="00C25EF2">
        <w:rPr>
          <w:rStyle w:val="SpecialBold"/>
        </w:rPr>
        <w:tab/>
        <w:t>2</w:t>
      </w:r>
    </w:p>
    <w:p w:rsidR="00000000" w:rsidRPr="00C25EF2" w:rsidP="00C25EF2">
      <w:pPr>
        <w:pStyle w:val="AllowPageBreak"/>
      </w:pPr>
    </w:p>
    <w:p w:rsidR="00000000" w:rsidRPr="00C25EF2" w:rsidP="00C25EF2">
      <w:pPr>
        <w:pStyle w:val="Heading1"/>
      </w:pPr>
      <w:bookmarkStart w:id="3" w:name="O_1169631"/>
      <w:bookmarkEnd w:id="3"/>
      <w:r w:rsidRPr="00C25EF2">
        <w:t>Pre-requisite Unit</w:t>
      </w:r>
    </w:p>
    <w:tbl>
      <w:tblPr>
        <w:tblW w:w="0" w:type="auto"/>
        <w:tblLayout w:type="fixed"/>
        <w:tblCellMar>
          <w:left w:w="62" w:type="dxa"/>
          <w:right w:w="62" w:type="dxa"/>
        </w:tblCellMar>
        <w:tblLook w:val="0000"/>
      </w:tblPr>
      <w:tblGrid>
        <w:gridCol w:w="2186"/>
        <w:gridCol w:w="6886"/>
      </w:tblGrid>
      <w:tr w:rsidTr="00C25EF2">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C25EF2">
            <w:pPr>
              <w:pStyle w:val="BodyText"/>
              <w:rPr>
                <w:lang w:val="en-NZ"/>
              </w:rPr>
            </w:pPr>
            <w:r w:rsidRPr="00C25EF2">
              <w:t>MEM09002</w:t>
            </w:r>
          </w:p>
        </w:tc>
        <w:tc>
          <w:tcPr>
            <w:tcW w:w="6886" w:type="dxa"/>
            <w:tcBorders>
              <w:top w:val="nil"/>
              <w:left w:val="nil"/>
              <w:bottom w:val="nil"/>
              <w:right w:val="nil"/>
            </w:tcBorders>
            <w:tcMar>
              <w:top w:w="0" w:type="dxa"/>
              <w:left w:w="62" w:type="dxa"/>
              <w:bottom w:w="0" w:type="dxa"/>
              <w:right w:w="62" w:type="dxa"/>
            </w:tcMar>
          </w:tcPr>
          <w:p w:rsidR="00000000" w:rsidP="00C25EF2">
            <w:pPr>
              <w:pStyle w:val="BodyText"/>
              <w:rPr>
                <w:lang w:val="en-NZ"/>
              </w:rPr>
            </w:pPr>
            <w:r w:rsidRPr="00C25EF2">
              <w:t>Interpret technical drawing</w:t>
            </w:r>
          </w:p>
        </w:tc>
      </w:tr>
      <w:tr w:rsidTr="00C25EF2">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C25EF2">
            <w:pPr>
              <w:pStyle w:val="BodyText"/>
              <w:rPr>
                <w:lang w:val="en-NZ"/>
              </w:rPr>
            </w:pPr>
            <w:r w:rsidRPr="00C25EF2">
              <w:t>MEM11011</w:t>
            </w:r>
          </w:p>
        </w:tc>
        <w:tc>
          <w:tcPr>
            <w:tcW w:w="6886" w:type="dxa"/>
            <w:tcBorders>
              <w:top w:val="nil"/>
              <w:left w:val="nil"/>
              <w:bottom w:val="nil"/>
              <w:right w:val="nil"/>
            </w:tcBorders>
            <w:tcMar>
              <w:top w:w="0" w:type="dxa"/>
              <w:left w:w="62" w:type="dxa"/>
              <w:bottom w:w="0" w:type="dxa"/>
              <w:right w:w="62" w:type="dxa"/>
            </w:tcMar>
          </w:tcPr>
          <w:p w:rsidR="00000000" w:rsidP="00C25EF2">
            <w:pPr>
              <w:pStyle w:val="BodyText"/>
              <w:rPr>
                <w:lang w:val="en-NZ"/>
              </w:rPr>
            </w:pPr>
            <w:r w:rsidRPr="00C25EF2">
              <w:t>Undertake manual handling</w:t>
            </w:r>
          </w:p>
        </w:tc>
      </w:tr>
      <w:tr w:rsidTr="00C25EF2">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C25EF2">
            <w:pPr>
              <w:pStyle w:val="BodyText"/>
              <w:rPr>
                <w:lang w:val="en-NZ"/>
              </w:rPr>
            </w:pPr>
            <w:r w:rsidRPr="00C25EF2">
              <w:t>MEM12023</w:t>
            </w:r>
          </w:p>
        </w:tc>
        <w:tc>
          <w:tcPr>
            <w:tcW w:w="6886" w:type="dxa"/>
            <w:tcBorders>
              <w:top w:val="nil"/>
              <w:left w:val="nil"/>
              <w:bottom w:val="nil"/>
              <w:right w:val="nil"/>
            </w:tcBorders>
            <w:tcMar>
              <w:top w:w="0" w:type="dxa"/>
              <w:left w:w="62" w:type="dxa"/>
              <w:bottom w:w="0" w:type="dxa"/>
              <w:right w:w="62" w:type="dxa"/>
            </w:tcMar>
          </w:tcPr>
          <w:p w:rsidR="00000000" w:rsidP="00C25EF2">
            <w:pPr>
              <w:pStyle w:val="BodyText"/>
              <w:rPr>
                <w:lang w:val="en-NZ"/>
              </w:rPr>
            </w:pPr>
            <w:r w:rsidRPr="00C25EF2">
              <w:t>Perform engineering measurements</w:t>
            </w:r>
          </w:p>
        </w:tc>
      </w:tr>
      <w:tr w:rsidTr="00C25EF2">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C25EF2">
            <w:pPr>
              <w:pStyle w:val="BodyText"/>
              <w:rPr>
                <w:lang w:val="en-NZ"/>
              </w:rPr>
            </w:pPr>
            <w:r w:rsidRPr="00C25EF2">
              <w:t>MEM12024</w:t>
            </w:r>
          </w:p>
        </w:tc>
        <w:tc>
          <w:tcPr>
            <w:tcW w:w="6886" w:type="dxa"/>
            <w:tcBorders>
              <w:top w:val="nil"/>
              <w:left w:val="nil"/>
              <w:bottom w:val="nil"/>
              <w:right w:val="nil"/>
            </w:tcBorders>
            <w:tcMar>
              <w:top w:w="0" w:type="dxa"/>
              <w:left w:w="62" w:type="dxa"/>
              <w:bottom w:w="0" w:type="dxa"/>
              <w:right w:w="62" w:type="dxa"/>
            </w:tcMar>
          </w:tcPr>
          <w:p w:rsidR="00000000" w:rsidP="00C25EF2">
            <w:pPr>
              <w:pStyle w:val="BodyText"/>
              <w:rPr>
                <w:lang w:val="en-NZ"/>
              </w:rPr>
            </w:pPr>
            <w:r w:rsidRPr="00C25EF2">
              <w:t>Perform computations</w:t>
            </w:r>
          </w:p>
        </w:tc>
      </w:tr>
      <w:tr w:rsidTr="00C25EF2">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C25EF2">
            <w:pPr>
              <w:pStyle w:val="BodyText"/>
              <w:rPr>
                <w:lang w:val="en-NZ"/>
              </w:rPr>
            </w:pPr>
            <w:r w:rsidRPr="00C25EF2">
              <w:t>MEM13015</w:t>
            </w:r>
          </w:p>
        </w:tc>
        <w:tc>
          <w:tcPr>
            <w:tcW w:w="6886" w:type="dxa"/>
            <w:tcBorders>
              <w:top w:val="nil"/>
              <w:left w:val="nil"/>
              <w:bottom w:val="nil"/>
              <w:right w:val="nil"/>
            </w:tcBorders>
            <w:tcMar>
              <w:top w:w="0" w:type="dxa"/>
              <w:left w:w="62" w:type="dxa"/>
              <w:bottom w:w="0" w:type="dxa"/>
              <w:right w:w="62" w:type="dxa"/>
            </w:tcMar>
          </w:tcPr>
          <w:p w:rsidR="00000000" w:rsidP="00C25EF2">
            <w:pPr>
              <w:pStyle w:val="BodyText"/>
              <w:rPr>
                <w:lang w:val="en-NZ"/>
              </w:rPr>
            </w:pPr>
            <w:r w:rsidRPr="00C25EF2">
              <w:t>Work safely and effectively in manufacturing and engineering</w:t>
            </w:r>
          </w:p>
        </w:tc>
      </w:tr>
      <w:tr w:rsidTr="00C25EF2">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C25EF2">
            <w:pPr>
              <w:pStyle w:val="BodyText"/>
              <w:rPr>
                <w:lang w:val="en-NZ"/>
              </w:rPr>
            </w:pPr>
            <w:r w:rsidRPr="00C25EF2">
              <w:t>MEM14006</w:t>
            </w:r>
          </w:p>
        </w:tc>
        <w:tc>
          <w:tcPr>
            <w:tcW w:w="6886" w:type="dxa"/>
            <w:tcBorders>
              <w:top w:val="nil"/>
              <w:left w:val="nil"/>
              <w:bottom w:val="nil"/>
              <w:right w:val="nil"/>
            </w:tcBorders>
            <w:tcMar>
              <w:top w:w="0" w:type="dxa"/>
              <w:left w:w="62" w:type="dxa"/>
              <w:bottom w:w="0" w:type="dxa"/>
              <w:right w:w="62" w:type="dxa"/>
            </w:tcMar>
          </w:tcPr>
          <w:p w:rsidR="00000000" w:rsidP="00C25EF2">
            <w:pPr>
              <w:pStyle w:val="BodyText"/>
              <w:rPr>
                <w:lang w:val="en-NZ"/>
              </w:rPr>
            </w:pPr>
            <w:r w:rsidRPr="00C25EF2">
              <w:t>Plan work activities</w:t>
            </w:r>
          </w:p>
        </w:tc>
      </w:tr>
      <w:tr w:rsidTr="00C25EF2">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C25EF2">
            <w:pPr>
              <w:pStyle w:val="BodyText"/>
              <w:rPr>
                <w:lang w:val="en-NZ"/>
              </w:rPr>
            </w:pPr>
            <w:r w:rsidRPr="00C25EF2">
              <w:t>MEM16006</w:t>
            </w:r>
          </w:p>
        </w:tc>
        <w:tc>
          <w:tcPr>
            <w:tcW w:w="6886" w:type="dxa"/>
            <w:tcBorders>
              <w:top w:val="nil"/>
              <w:left w:val="nil"/>
              <w:bottom w:val="nil"/>
              <w:right w:val="nil"/>
            </w:tcBorders>
            <w:tcMar>
              <w:top w:w="0" w:type="dxa"/>
              <w:left w:w="62" w:type="dxa"/>
              <w:bottom w:w="0" w:type="dxa"/>
              <w:right w:w="62" w:type="dxa"/>
            </w:tcMar>
          </w:tcPr>
          <w:p w:rsidR="00000000" w:rsidP="00C25EF2">
            <w:pPr>
              <w:pStyle w:val="BodyText"/>
              <w:rPr>
                <w:lang w:val="en-NZ"/>
              </w:rPr>
            </w:pPr>
            <w:r w:rsidRPr="00C25EF2">
              <w:t>Organise and communicate information</w:t>
            </w:r>
          </w:p>
        </w:tc>
      </w:tr>
      <w:tr w:rsidTr="00C25EF2">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C25EF2">
            <w:pPr>
              <w:pStyle w:val="BodyText"/>
              <w:rPr>
                <w:lang w:val="en-NZ"/>
              </w:rPr>
            </w:pPr>
            <w:r w:rsidRPr="00C25EF2">
              <w:t>MEM180</w:t>
            </w:r>
            <w:r w:rsidRPr="00C25EF2">
              <w:t>01</w:t>
            </w:r>
          </w:p>
        </w:tc>
        <w:tc>
          <w:tcPr>
            <w:tcW w:w="6886" w:type="dxa"/>
            <w:tcBorders>
              <w:top w:val="nil"/>
              <w:left w:val="nil"/>
              <w:bottom w:val="nil"/>
              <w:right w:val="nil"/>
            </w:tcBorders>
            <w:tcMar>
              <w:top w:w="0" w:type="dxa"/>
              <w:left w:w="62" w:type="dxa"/>
              <w:bottom w:w="0" w:type="dxa"/>
              <w:right w:w="62" w:type="dxa"/>
            </w:tcMar>
          </w:tcPr>
          <w:p w:rsidR="00000000" w:rsidP="00C25EF2">
            <w:pPr>
              <w:pStyle w:val="BodyText"/>
              <w:rPr>
                <w:lang w:val="en-NZ"/>
              </w:rPr>
            </w:pPr>
            <w:r w:rsidRPr="00C25EF2">
              <w:t>Use hand tools</w:t>
            </w:r>
          </w:p>
        </w:tc>
      </w:tr>
      <w:tr w:rsidTr="00C25EF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25EF2">
            <w:pPr>
              <w:pStyle w:val="BodyText"/>
              <w:rPr>
                <w:lang w:val="en-NZ"/>
              </w:rPr>
            </w:pPr>
            <w:r w:rsidRPr="00C25EF2">
              <w:rPr>
                <w:rStyle w:val="SpecialBold"/>
              </w:rPr>
              <w:t>Plus, one or more of the following, including their prerequisites:</w:t>
            </w:r>
          </w:p>
        </w:tc>
      </w:tr>
      <w:tr w:rsidTr="00C25EF2">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C25EF2">
            <w:pPr>
              <w:pStyle w:val="BodyText"/>
              <w:rPr>
                <w:lang w:val="en-NZ"/>
              </w:rPr>
            </w:pPr>
            <w:r w:rsidRPr="00C25EF2">
              <w:t>MEM07005</w:t>
            </w:r>
          </w:p>
        </w:tc>
        <w:tc>
          <w:tcPr>
            <w:tcW w:w="6886" w:type="dxa"/>
            <w:tcBorders>
              <w:top w:val="nil"/>
              <w:left w:val="nil"/>
              <w:bottom w:val="nil"/>
              <w:right w:val="nil"/>
            </w:tcBorders>
            <w:tcMar>
              <w:top w:w="0" w:type="dxa"/>
              <w:left w:w="62" w:type="dxa"/>
              <w:bottom w:w="0" w:type="dxa"/>
              <w:right w:w="62" w:type="dxa"/>
            </w:tcMar>
          </w:tcPr>
          <w:p w:rsidR="00000000" w:rsidP="00C25EF2">
            <w:pPr>
              <w:pStyle w:val="BodyText"/>
              <w:rPr>
                <w:lang w:val="en-NZ"/>
              </w:rPr>
            </w:pPr>
            <w:r w:rsidRPr="00C25EF2">
              <w:t>Perform general machining</w:t>
            </w:r>
          </w:p>
        </w:tc>
      </w:tr>
      <w:tr w:rsidTr="00C25EF2">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C25EF2">
            <w:pPr>
              <w:pStyle w:val="BodyText"/>
              <w:rPr>
                <w:lang w:val="en-NZ"/>
              </w:rPr>
            </w:pPr>
            <w:r w:rsidRPr="00C25EF2">
              <w:t>MEM07028</w:t>
            </w:r>
          </w:p>
        </w:tc>
        <w:tc>
          <w:tcPr>
            <w:tcW w:w="6886" w:type="dxa"/>
            <w:tcBorders>
              <w:top w:val="nil"/>
              <w:left w:val="nil"/>
              <w:bottom w:val="nil"/>
              <w:right w:val="nil"/>
            </w:tcBorders>
            <w:tcMar>
              <w:top w:w="0" w:type="dxa"/>
              <w:left w:w="62" w:type="dxa"/>
              <w:bottom w:w="0" w:type="dxa"/>
              <w:right w:w="62" w:type="dxa"/>
            </w:tcMar>
          </w:tcPr>
          <w:p w:rsidR="00000000" w:rsidRPr="00C25EF2" w:rsidP="00C25EF2">
            <w:pPr>
              <w:pStyle w:val="BodyText"/>
            </w:pPr>
            <w:r w:rsidRPr="00C25EF2">
              <w:t>Operate computer controlled machines and processes</w:t>
            </w:r>
          </w:p>
        </w:tc>
      </w:tr>
    </w:tbl>
    <w:p w:rsidR="00000000" w:rsidRPr="00C25EF2" w:rsidP="00C25EF2">
      <w:pPr>
        <w:pStyle w:val="BodyText"/>
      </w:pPr>
    </w:p>
    <w:p w:rsidR="00000000" w:rsidRPr="00C25EF2" w:rsidP="00C25EF2">
      <w:pPr>
        <w:pStyle w:val="AllowPageBreak"/>
      </w:pPr>
    </w:p>
    <w:p w:rsidR="00000000" w:rsidRPr="00C25EF2" w:rsidP="00C25EF2">
      <w:pPr>
        <w:pStyle w:val="Heading1"/>
      </w:pPr>
      <w:bookmarkStart w:id="4" w:name="O_1169630"/>
      <w:bookmarkEnd w:id="4"/>
      <w:r w:rsidRPr="00C25EF2">
        <w:t>Competency Field</w:t>
      </w:r>
    </w:p>
    <w:p w:rsidR="00000000" w:rsidRPr="00C25EF2" w:rsidP="007B7BEB">
      <w:pPr>
        <w:pStyle w:val="BodyText"/>
      </w:pPr>
      <w:r w:rsidRPr="00C25EF2">
        <w:t>Machine and process operations</w:t>
      </w:r>
    </w:p>
    <w:p w:rsidR="00000000" w:rsidRPr="00C25EF2" w:rsidP="00C25EF2">
      <w:pPr>
        <w:pStyle w:val="Heading1"/>
      </w:pPr>
      <w:bookmarkStart w:id="5" w:name="O_1169629"/>
      <w:bookmarkEnd w:id="5"/>
      <w:r w:rsidRPr="00C25EF2">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C25EF2">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C25EF2">
            <w:pPr>
              <w:pStyle w:val="BodyText"/>
              <w:rPr>
                <w:lang w:val="en-NZ"/>
              </w:rPr>
            </w:pPr>
            <w:r w:rsidRPr="00C25EF2">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C25EF2">
            <w:pPr>
              <w:pStyle w:val="BodyText"/>
              <w:rPr>
                <w:lang w:val="en-NZ"/>
              </w:rPr>
            </w:pPr>
            <w:r w:rsidRPr="00C25EF2">
              <w:t>Performance criteria describe the performance needed to demonstrate achievement of the element.</w:t>
            </w:r>
          </w:p>
        </w:tc>
      </w:tr>
      <w:tr w:rsidTr="00C25EF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C25EF2" w:rsidP="00C25EF2">
            <w:pPr>
              <w:pStyle w:val="BodyText"/>
            </w:pPr>
            <w:r w:rsidRPr="00C25EF2">
              <w:t>1</w:t>
            </w:r>
          </w:p>
        </w:tc>
        <w:tc>
          <w:tcPr>
            <w:tcW w:w="1986" w:type="dxa"/>
            <w:vMerge w:val="restart"/>
            <w:tcBorders>
              <w:top w:val="nil"/>
              <w:left w:val="nil"/>
              <w:bottom w:val="nil"/>
              <w:right w:val="nil"/>
            </w:tcBorders>
            <w:tcMar>
              <w:top w:w="0" w:type="dxa"/>
              <w:left w:w="62" w:type="dxa"/>
              <w:bottom w:w="0" w:type="dxa"/>
              <w:right w:w="62" w:type="dxa"/>
            </w:tcMar>
          </w:tcPr>
          <w:p w:rsidR="00000000" w:rsidP="00C25EF2">
            <w:pPr>
              <w:pStyle w:val="BodyText"/>
              <w:rPr>
                <w:lang w:val="en-NZ"/>
              </w:rPr>
            </w:pPr>
            <w:r w:rsidRPr="00C25EF2">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C25EF2">
            <w:pPr>
              <w:pStyle w:val="BodyText"/>
              <w:rPr>
                <w:lang w:val="en-NZ"/>
              </w:rPr>
            </w:pPr>
            <w:r w:rsidRPr="00C25EF2">
              <w:t>1.1</w:t>
            </w:r>
          </w:p>
        </w:tc>
        <w:tc>
          <w:tcPr>
            <w:tcW w:w="5678" w:type="dxa"/>
            <w:tcBorders>
              <w:top w:val="nil"/>
              <w:left w:val="nil"/>
              <w:bottom w:val="nil"/>
              <w:right w:val="nil"/>
            </w:tcBorders>
            <w:tcMar>
              <w:top w:w="0" w:type="dxa"/>
              <w:left w:w="62" w:type="dxa"/>
              <w:bottom w:w="0" w:type="dxa"/>
              <w:right w:w="62" w:type="dxa"/>
            </w:tcMar>
          </w:tcPr>
          <w:p w:rsidR="00000000" w:rsidP="00C25EF2">
            <w:pPr>
              <w:pStyle w:val="BodyText"/>
              <w:rPr>
                <w:lang w:val="en-NZ"/>
              </w:rPr>
            </w:pPr>
            <w:r w:rsidRPr="00C25EF2">
              <w:t>Follow standard operating procedures (SOPs)</w:t>
            </w:r>
          </w:p>
        </w:tc>
      </w:tr>
      <w:tr w:rsidTr="00C25EF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25EF2">
            <w:pPr>
              <w:pStyle w:val="BodyText"/>
              <w:rPr>
                <w:lang w:val="en-NZ"/>
              </w:rPr>
            </w:pPr>
            <w:r w:rsidRPr="00C25EF2">
              <w:t>1.2</w:t>
            </w:r>
          </w:p>
        </w:tc>
        <w:tc>
          <w:tcPr>
            <w:tcW w:w="5678" w:type="dxa"/>
            <w:tcBorders>
              <w:top w:val="nil"/>
              <w:left w:val="nil"/>
              <w:bottom w:val="nil"/>
              <w:right w:val="nil"/>
            </w:tcBorders>
            <w:tcMar>
              <w:top w:w="0" w:type="dxa"/>
              <w:left w:w="62" w:type="dxa"/>
              <w:bottom w:w="0" w:type="dxa"/>
              <w:right w:w="62" w:type="dxa"/>
            </w:tcMar>
          </w:tcPr>
          <w:p w:rsidR="00000000" w:rsidP="00C25EF2">
            <w:pPr>
              <w:pStyle w:val="BodyText"/>
              <w:rPr>
                <w:lang w:val="en-NZ"/>
              </w:rPr>
            </w:pPr>
            <w:r w:rsidRPr="00C25EF2">
              <w:t>Comply with work health and safety (WHS) requirements at all times</w:t>
            </w:r>
          </w:p>
        </w:tc>
      </w:tr>
      <w:tr w:rsidTr="00C25EF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25EF2">
            <w:pPr>
              <w:pStyle w:val="BodyText"/>
              <w:rPr>
                <w:lang w:val="en-NZ"/>
              </w:rPr>
            </w:pPr>
            <w:r w:rsidRPr="00C25EF2">
              <w:t>1.3</w:t>
            </w:r>
          </w:p>
        </w:tc>
        <w:tc>
          <w:tcPr>
            <w:tcW w:w="5678" w:type="dxa"/>
            <w:tcBorders>
              <w:top w:val="nil"/>
              <w:left w:val="nil"/>
              <w:bottom w:val="nil"/>
              <w:right w:val="nil"/>
            </w:tcBorders>
            <w:tcMar>
              <w:top w:w="0" w:type="dxa"/>
              <w:left w:w="62" w:type="dxa"/>
              <w:bottom w:w="0" w:type="dxa"/>
              <w:right w:w="62" w:type="dxa"/>
            </w:tcMar>
          </w:tcPr>
          <w:p w:rsidR="00000000" w:rsidP="00C25EF2">
            <w:pPr>
              <w:pStyle w:val="BodyText"/>
              <w:rPr>
                <w:lang w:val="en-NZ"/>
              </w:rPr>
            </w:pPr>
            <w:r w:rsidRPr="00C25EF2">
              <w:t>Use appropriate personal protective equipment (PPE) in accordance with SOPs</w:t>
            </w:r>
          </w:p>
        </w:tc>
      </w:tr>
      <w:tr w:rsidTr="00C25EF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25EF2">
            <w:pPr>
              <w:pStyle w:val="BodyText"/>
              <w:rPr>
                <w:lang w:val="en-NZ"/>
              </w:rPr>
            </w:pPr>
            <w:r w:rsidRPr="00C25EF2">
              <w:t>1.4</w:t>
            </w:r>
          </w:p>
        </w:tc>
        <w:tc>
          <w:tcPr>
            <w:tcW w:w="5678" w:type="dxa"/>
            <w:tcBorders>
              <w:top w:val="nil"/>
              <w:left w:val="nil"/>
              <w:bottom w:val="nil"/>
              <w:right w:val="nil"/>
            </w:tcBorders>
            <w:tcMar>
              <w:top w:w="0" w:type="dxa"/>
              <w:left w:w="62" w:type="dxa"/>
              <w:bottom w:w="0" w:type="dxa"/>
              <w:right w:w="62" w:type="dxa"/>
            </w:tcMar>
          </w:tcPr>
          <w:p w:rsidR="00000000" w:rsidP="00C25EF2">
            <w:pPr>
              <w:pStyle w:val="BodyText"/>
              <w:rPr>
                <w:lang w:val="en-NZ"/>
              </w:rPr>
            </w:pPr>
            <w:r w:rsidRPr="00C25EF2">
              <w:t>Identify job requirements from specifications, drawings, job sheets or work instructions</w:t>
            </w:r>
          </w:p>
        </w:tc>
      </w:tr>
      <w:tr w:rsidTr="00C25EF2">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C25EF2">
            <w:pPr>
              <w:pStyle w:val="BodyText"/>
              <w:rPr>
                <w:lang w:val="en-NZ"/>
              </w:rPr>
            </w:pPr>
          </w:p>
        </w:tc>
      </w:tr>
      <w:tr w:rsidTr="00C25EF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C25EF2" w:rsidP="00C25EF2">
            <w:pPr>
              <w:pStyle w:val="BodyText"/>
            </w:pPr>
            <w:r w:rsidRPr="00C25EF2">
              <w:t>2</w:t>
            </w:r>
          </w:p>
        </w:tc>
        <w:tc>
          <w:tcPr>
            <w:tcW w:w="1986" w:type="dxa"/>
            <w:vMerge w:val="restart"/>
            <w:tcBorders>
              <w:top w:val="nil"/>
              <w:left w:val="nil"/>
              <w:bottom w:val="nil"/>
              <w:right w:val="nil"/>
            </w:tcBorders>
            <w:tcMar>
              <w:top w:w="0" w:type="dxa"/>
              <w:left w:w="62" w:type="dxa"/>
              <w:bottom w:w="0" w:type="dxa"/>
              <w:right w:w="62" w:type="dxa"/>
            </w:tcMar>
          </w:tcPr>
          <w:p w:rsidR="00000000" w:rsidP="00C25EF2">
            <w:pPr>
              <w:pStyle w:val="BodyText"/>
              <w:rPr>
                <w:lang w:val="en-NZ"/>
              </w:rPr>
            </w:pPr>
            <w:r w:rsidRPr="00C25EF2">
              <w:rPr>
                <w:rStyle w:val="SpecialBold"/>
              </w:rPr>
              <w:t>Mount work holding fixtures/devices/tools</w:t>
            </w:r>
          </w:p>
        </w:tc>
        <w:tc>
          <w:tcPr>
            <w:tcW w:w="779" w:type="dxa"/>
            <w:tcBorders>
              <w:top w:val="nil"/>
              <w:left w:val="nil"/>
              <w:bottom w:val="nil"/>
              <w:right w:val="nil"/>
            </w:tcBorders>
            <w:tcMar>
              <w:top w:w="0" w:type="dxa"/>
              <w:left w:w="62" w:type="dxa"/>
              <w:bottom w:w="0" w:type="dxa"/>
              <w:right w:w="62" w:type="dxa"/>
            </w:tcMar>
          </w:tcPr>
          <w:p w:rsidR="00000000" w:rsidP="00C25EF2">
            <w:pPr>
              <w:pStyle w:val="BodyText"/>
              <w:rPr>
                <w:lang w:val="en-NZ"/>
              </w:rPr>
            </w:pPr>
            <w:r w:rsidRPr="00C25EF2">
              <w:t>2.1</w:t>
            </w:r>
          </w:p>
        </w:tc>
        <w:tc>
          <w:tcPr>
            <w:tcW w:w="5678" w:type="dxa"/>
            <w:tcBorders>
              <w:top w:val="nil"/>
              <w:left w:val="nil"/>
              <w:bottom w:val="nil"/>
              <w:right w:val="nil"/>
            </w:tcBorders>
            <w:tcMar>
              <w:top w:w="0" w:type="dxa"/>
              <w:left w:w="62" w:type="dxa"/>
              <w:bottom w:w="0" w:type="dxa"/>
              <w:right w:w="62" w:type="dxa"/>
            </w:tcMar>
          </w:tcPr>
          <w:p w:rsidR="00000000" w:rsidP="00C25EF2">
            <w:pPr>
              <w:pStyle w:val="BodyText"/>
              <w:rPr>
                <w:lang w:val="en-NZ"/>
              </w:rPr>
            </w:pPr>
            <w:r w:rsidRPr="00C25EF2">
              <w:t>Prepare machine to accept work holding fixtures/devices/ tools</w:t>
            </w:r>
          </w:p>
        </w:tc>
      </w:tr>
      <w:tr w:rsidTr="00C25EF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25EF2">
            <w:pPr>
              <w:pStyle w:val="BodyText"/>
              <w:rPr>
                <w:lang w:val="en-NZ"/>
              </w:rPr>
            </w:pPr>
            <w:r w:rsidRPr="00C25EF2">
              <w:t>2.2</w:t>
            </w:r>
          </w:p>
        </w:tc>
        <w:tc>
          <w:tcPr>
            <w:tcW w:w="5678" w:type="dxa"/>
            <w:tcBorders>
              <w:top w:val="nil"/>
              <w:left w:val="nil"/>
              <w:bottom w:val="nil"/>
              <w:right w:val="nil"/>
            </w:tcBorders>
            <w:tcMar>
              <w:top w:w="0" w:type="dxa"/>
              <w:left w:w="62" w:type="dxa"/>
              <w:bottom w:w="0" w:type="dxa"/>
              <w:right w:w="62" w:type="dxa"/>
            </w:tcMar>
          </w:tcPr>
          <w:p w:rsidR="00000000" w:rsidP="00C25EF2">
            <w:pPr>
              <w:pStyle w:val="BodyText"/>
              <w:rPr>
                <w:lang w:val="en-NZ"/>
              </w:rPr>
            </w:pPr>
            <w:r w:rsidRPr="00C25EF2">
              <w:t xml:space="preserve">Mount pre-set tooling into machine/equipment, as required </w:t>
            </w:r>
          </w:p>
        </w:tc>
      </w:tr>
      <w:tr w:rsidTr="00C25EF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25EF2">
            <w:pPr>
              <w:pStyle w:val="BodyText"/>
              <w:rPr>
                <w:lang w:val="en-NZ"/>
              </w:rPr>
            </w:pPr>
            <w:r w:rsidRPr="00C25EF2">
              <w:t>2.3</w:t>
            </w:r>
          </w:p>
        </w:tc>
        <w:tc>
          <w:tcPr>
            <w:tcW w:w="5678" w:type="dxa"/>
            <w:tcBorders>
              <w:top w:val="nil"/>
              <w:left w:val="nil"/>
              <w:bottom w:val="nil"/>
              <w:right w:val="nil"/>
            </w:tcBorders>
            <w:tcMar>
              <w:top w:w="0" w:type="dxa"/>
              <w:left w:w="62" w:type="dxa"/>
              <w:bottom w:w="0" w:type="dxa"/>
              <w:right w:w="62" w:type="dxa"/>
            </w:tcMar>
          </w:tcPr>
          <w:p w:rsidR="00000000" w:rsidP="00C25EF2">
            <w:pPr>
              <w:pStyle w:val="BodyText"/>
              <w:rPr>
                <w:lang w:val="en-NZ"/>
              </w:rPr>
            </w:pPr>
            <w:r w:rsidRPr="00C25EF2">
              <w:t xml:space="preserve">Set work holding fixtures/devices on machine </w:t>
            </w:r>
          </w:p>
        </w:tc>
      </w:tr>
      <w:tr w:rsidTr="00C25EF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25EF2">
            <w:pPr>
              <w:pStyle w:val="BodyText"/>
              <w:rPr>
                <w:lang w:val="en-NZ"/>
              </w:rPr>
            </w:pPr>
            <w:r w:rsidRPr="00C25EF2">
              <w:t>2.4</w:t>
            </w:r>
          </w:p>
        </w:tc>
        <w:tc>
          <w:tcPr>
            <w:tcW w:w="5678" w:type="dxa"/>
            <w:tcBorders>
              <w:top w:val="nil"/>
              <w:left w:val="nil"/>
              <w:bottom w:val="nil"/>
              <w:right w:val="nil"/>
            </w:tcBorders>
            <w:tcMar>
              <w:top w:w="0" w:type="dxa"/>
              <w:left w:w="62" w:type="dxa"/>
              <w:bottom w:w="0" w:type="dxa"/>
              <w:right w:w="62" w:type="dxa"/>
            </w:tcMar>
          </w:tcPr>
          <w:p w:rsidR="00000000" w:rsidP="00C25EF2">
            <w:pPr>
              <w:pStyle w:val="BodyText"/>
              <w:rPr>
                <w:lang w:val="en-NZ"/>
              </w:rPr>
            </w:pPr>
            <w:r w:rsidRPr="00C25EF2">
              <w:t xml:space="preserve">Identify/verify tool offset or datum settings against job sheet </w:t>
            </w:r>
          </w:p>
        </w:tc>
      </w:tr>
      <w:tr w:rsidTr="00C25EF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25EF2">
            <w:pPr>
              <w:pStyle w:val="BodyText"/>
              <w:rPr>
                <w:lang w:val="en-NZ"/>
              </w:rPr>
            </w:pPr>
            <w:r w:rsidRPr="00C25EF2">
              <w:t>2.5</w:t>
            </w:r>
          </w:p>
        </w:tc>
        <w:tc>
          <w:tcPr>
            <w:tcW w:w="5678" w:type="dxa"/>
            <w:tcBorders>
              <w:top w:val="nil"/>
              <w:left w:val="nil"/>
              <w:bottom w:val="nil"/>
              <w:right w:val="nil"/>
            </w:tcBorders>
            <w:tcMar>
              <w:top w:w="0" w:type="dxa"/>
              <w:left w:w="62" w:type="dxa"/>
              <w:bottom w:w="0" w:type="dxa"/>
              <w:right w:w="62" w:type="dxa"/>
            </w:tcMar>
          </w:tcPr>
          <w:p w:rsidR="00000000" w:rsidP="00C25EF2">
            <w:pPr>
              <w:pStyle w:val="BodyText"/>
              <w:rPr>
                <w:lang w:val="en-NZ"/>
              </w:rPr>
            </w:pPr>
            <w:r w:rsidRPr="00C25EF2">
              <w:t xml:space="preserve">Load and select program and verify in accordance with </w:t>
            </w:r>
            <w:r w:rsidRPr="00C25EF2">
              <w:t>job instructions</w:t>
            </w:r>
          </w:p>
        </w:tc>
      </w:tr>
      <w:tr w:rsidTr="00C25EF2">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C25EF2">
            <w:pPr>
              <w:pStyle w:val="BodyText"/>
              <w:rPr>
                <w:lang w:val="en-NZ"/>
              </w:rPr>
            </w:pPr>
          </w:p>
        </w:tc>
      </w:tr>
      <w:tr w:rsidTr="00C25EF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C25EF2" w:rsidP="00C25EF2">
            <w:pPr>
              <w:pStyle w:val="BodyText"/>
            </w:pPr>
            <w:r w:rsidRPr="00C25EF2">
              <w:t>3</w:t>
            </w:r>
          </w:p>
        </w:tc>
        <w:tc>
          <w:tcPr>
            <w:tcW w:w="1986" w:type="dxa"/>
            <w:vMerge w:val="restart"/>
            <w:tcBorders>
              <w:top w:val="nil"/>
              <w:left w:val="nil"/>
              <w:bottom w:val="nil"/>
              <w:right w:val="nil"/>
            </w:tcBorders>
            <w:tcMar>
              <w:top w:w="0" w:type="dxa"/>
              <w:left w:w="62" w:type="dxa"/>
              <w:bottom w:w="0" w:type="dxa"/>
              <w:right w:w="62" w:type="dxa"/>
            </w:tcMar>
          </w:tcPr>
          <w:p w:rsidR="00000000" w:rsidP="00C25EF2">
            <w:pPr>
              <w:pStyle w:val="BodyText"/>
              <w:rPr>
                <w:lang w:val="en-NZ"/>
              </w:rPr>
            </w:pPr>
            <w:r w:rsidRPr="00C25EF2">
              <w:rPr>
                <w:rStyle w:val="SpecialBold"/>
              </w:rPr>
              <w:t>Conduct pre-start checks</w:t>
            </w:r>
          </w:p>
        </w:tc>
        <w:tc>
          <w:tcPr>
            <w:tcW w:w="779" w:type="dxa"/>
            <w:tcBorders>
              <w:top w:val="nil"/>
              <w:left w:val="nil"/>
              <w:bottom w:val="nil"/>
              <w:right w:val="nil"/>
            </w:tcBorders>
            <w:tcMar>
              <w:top w:w="0" w:type="dxa"/>
              <w:left w:w="62" w:type="dxa"/>
              <w:bottom w:w="0" w:type="dxa"/>
              <w:right w:w="62" w:type="dxa"/>
            </w:tcMar>
          </w:tcPr>
          <w:p w:rsidR="00000000" w:rsidP="00C25EF2">
            <w:pPr>
              <w:pStyle w:val="BodyText"/>
              <w:rPr>
                <w:lang w:val="en-NZ"/>
              </w:rPr>
            </w:pPr>
            <w:r w:rsidRPr="00C25EF2">
              <w:t>3.1</w:t>
            </w:r>
          </w:p>
        </w:tc>
        <w:tc>
          <w:tcPr>
            <w:tcW w:w="5678" w:type="dxa"/>
            <w:tcBorders>
              <w:top w:val="nil"/>
              <w:left w:val="nil"/>
              <w:bottom w:val="nil"/>
              <w:right w:val="nil"/>
            </w:tcBorders>
            <w:tcMar>
              <w:top w:w="0" w:type="dxa"/>
              <w:left w:w="62" w:type="dxa"/>
              <w:bottom w:w="0" w:type="dxa"/>
              <w:right w:w="62" w:type="dxa"/>
            </w:tcMar>
          </w:tcPr>
          <w:p w:rsidR="00000000" w:rsidP="00C25EF2">
            <w:pPr>
              <w:pStyle w:val="BodyText"/>
              <w:rPr>
                <w:lang w:val="en-NZ"/>
              </w:rPr>
            </w:pPr>
            <w:r w:rsidRPr="00C25EF2">
              <w:t xml:space="preserve">Undertake pre-start checks </w:t>
            </w:r>
          </w:p>
        </w:tc>
      </w:tr>
      <w:tr w:rsidTr="00C25EF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25EF2">
            <w:pPr>
              <w:pStyle w:val="BodyText"/>
              <w:rPr>
                <w:lang w:val="en-NZ"/>
              </w:rPr>
            </w:pPr>
            <w:r w:rsidRPr="00C25EF2">
              <w:t>3.2</w:t>
            </w:r>
          </w:p>
        </w:tc>
        <w:tc>
          <w:tcPr>
            <w:tcW w:w="5678" w:type="dxa"/>
            <w:tcBorders>
              <w:top w:val="nil"/>
              <w:left w:val="nil"/>
              <w:bottom w:val="nil"/>
              <w:right w:val="nil"/>
            </w:tcBorders>
            <w:tcMar>
              <w:top w:w="0" w:type="dxa"/>
              <w:left w:w="62" w:type="dxa"/>
              <w:bottom w:w="0" w:type="dxa"/>
              <w:right w:w="62" w:type="dxa"/>
            </w:tcMar>
          </w:tcPr>
          <w:p w:rsidR="00000000" w:rsidP="00C25EF2">
            <w:pPr>
              <w:pStyle w:val="BodyText"/>
              <w:rPr>
                <w:lang w:val="en-NZ"/>
              </w:rPr>
            </w:pPr>
            <w:r w:rsidRPr="00C25EF2">
              <w:t>Observe correct safety procedures and check safety equipment for correct operation</w:t>
            </w:r>
          </w:p>
        </w:tc>
      </w:tr>
      <w:tr w:rsidTr="00C25EF2">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C25EF2">
            <w:pPr>
              <w:pStyle w:val="BodyText"/>
              <w:rPr>
                <w:lang w:val="en-NZ"/>
              </w:rPr>
            </w:pPr>
          </w:p>
        </w:tc>
      </w:tr>
      <w:tr w:rsidTr="00C25EF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C25EF2" w:rsidP="00C25EF2">
            <w:pPr>
              <w:pStyle w:val="BodyText"/>
            </w:pPr>
            <w:r w:rsidRPr="00C25EF2">
              <w:t>4</w:t>
            </w:r>
          </w:p>
        </w:tc>
        <w:tc>
          <w:tcPr>
            <w:tcW w:w="1986" w:type="dxa"/>
            <w:vMerge w:val="restart"/>
            <w:tcBorders>
              <w:top w:val="nil"/>
              <w:left w:val="nil"/>
              <w:bottom w:val="nil"/>
              <w:right w:val="nil"/>
            </w:tcBorders>
            <w:tcMar>
              <w:top w:w="0" w:type="dxa"/>
              <w:left w:w="62" w:type="dxa"/>
              <w:bottom w:w="0" w:type="dxa"/>
              <w:right w:w="62" w:type="dxa"/>
            </w:tcMar>
          </w:tcPr>
          <w:p w:rsidR="00000000" w:rsidP="00C25EF2">
            <w:pPr>
              <w:pStyle w:val="BodyText"/>
              <w:rPr>
                <w:lang w:val="en-NZ"/>
              </w:rPr>
            </w:pPr>
            <w:r w:rsidRPr="00C25EF2">
              <w:rPr>
                <w:rStyle w:val="SpecialBold"/>
              </w:rPr>
              <w:t>Set machine</w:t>
            </w:r>
          </w:p>
        </w:tc>
        <w:tc>
          <w:tcPr>
            <w:tcW w:w="779" w:type="dxa"/>
            <w:tcBorders>
              <w:top w:val="nil"/>
              <w:left w:val="nil"/>
              <w:bottom w:val="nil"/>
              <w:right w:val="nil"/>
            </w:tcBorders>
            <w:tcMar>
              <w:top w:w="0" w:type="dxa"/>
              <w:left w:w="62" w:type="dxa"/>
              <w:bottom w:w="0" w:type="dxa"/>
              <w:right w:w="62" w:type="dxa"/>
            </w:tcMar>
          </w:tcPr>
          <w:p w:rsidR="00000000" w:rsidP="00C25EF2">
            <w:pPr>
              <w:pStyle w:val="BodyText"/>
              <w:rPr>
                <w:lang w:val="en-NZ"/>
              </w:rPr>
            </w:pPr>
            <w:r w:rsidRPr="00C25EF2">
              <w:t>4.1</w:t>
            </w:r>
          </w:p>
        </w:tc>
        <w:tc>
          <w:tcPr>
            <w:tcW w:w="5678" w:type="dxa"/>
            <w:tcBorders>
              <w:top w:val="nil"/>
              <w:left w:val="nil"/>
              <w:bottom w:val="nil"/>
              <w:right w:val="nil"/>
            </w:tcBorders>
            <w:tcMar>
              <w:top w:w="0" w:type="dxa"/>
              <w:left w:w="62" w:type="dxa"/>
              <w:bottom w:w="0" w:type="dxa"/>
              <w:right w:w="62" w:type="dxa"/>
            </w:tcMar>
          </w:tcPr>
          <w:p w:rsidR="00000000" w:rsidP="00C25EF2">
            <w:pPr>
              <w:pStyle w:val="BodyText"/>
              <w:rPr>
                <w:lang w:val="en-NZ"/>
              </w:rPr>
            </w:pPr>
            <w:r w:rsidRPr="00C25EF2">
              <w:t>Set/adjust machine to meet operational requirements and specifications</w:t>
            </w:r>
          </w:p>
        </w:tc>
      </w:tr>
      <w:tr w:rsidTr="00C25EF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25EF2">
            <w:pPr>
              <w:pStyle w:val="BodyText"/>
              <w:rPr>
                <w:lang w:val="en-NZ"/>
              </w:rPr>
            </w:pPr>
            <w:r w:rsidRPr="00C25EF2">
              <w:t>4.2</w:t>
            </w:r>
          </w:p>
        </w:tc>
        <w:tc>
          <w:tcPr>
            <w:tcW w:w="5678" w:type="dxa"/>
            <w:tcBorders>
              <w:top w:val="nil"/>
              <w:left w:val="nil"/>
              <w:bottom w:val="nil"/>
              <w:right w:val="nil"/>
            </w:tcBorders>
            <w:tcMar>
              <w:top w:w="0" w:type="dxa"/>
              <w:left w:w="62" w:type="dxa"/>
              <w:bottom w:w="0" w:type="dxa"/>
              <w:right w:w="62" w:type="dxa"/>
            </w:tcMar>
          </w:tcPr>
          <w:p w:rsidR="00000000" w:rsidP="00C25EF2">
            <w:pPr>
              <w:pStyle w:val="BodyText"/>
              <w:rPr>
                <w:lang w:val="en-NZ"/>
              </w:rPr>
            </w:pPr>
            <w:r w:rsidRPr="00C25EF2">
              <w:t xml:space="preserve">Check production samples for compliance with specifications </w:t>
            </w:r>
          </w:p>
        </w:tc>
      </w:tr>
      <w:tr w:rsidTr="00C25EF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25EF2">
            <w:pPr>
              <w:pStyle w:val="BodyText"/>
              <w:rPr>
                <w:lang w:val="en-NZ"/>
              </w:rPr>
            </w:pPr>
            <w:r w:rsidRPr="00C25EF2">
              <w:t>4.3</w:t>
            </w:r>
          </w:p>
        </w:tc>
        <w:tc>
          <w:tcPr>
            <w:tcW w:w="5678" w:type="dxa"/>
            <w:tcBorders>
              <w:top w:val="nil"/>
              <w:left w:val="nil"/>
              <w:bottom w:val="nil"/>
              <w:right w:val="nil"/>
            </w:tcBorders>
            <w:tcMar>
              <w:top w:w="0" w:type="dxa"/>
              <w:left w:w="62" w:type="dxa"/>
              <w:bottom w:w="0" w:type="dxa"/>
              <w:right w:w="62" w:type="dxa"/>
            </w:tcMar>
          </w:tcPr>
          <w:p w:rsidR="00000000" w:rsidP="00C25EF2">
            <w:pPr>
              <w:pStyle w:val="BodyText"/>
              <w:rPr>
                <w:lang w:val="en-NZ"/>
              </w:rPr>
            </w:pPr>
            <w:r w:rsidRPr="00C25EF2">
              <w:t>Replace pre-set tools, adjust tool offs</w:t>
            </w:r>
            <w:r w:rsidRPr="00C25EF2">
              <w:t>ets or take other corrective action in accordance with SOPs, as required</w:t>
            </w:r>
          </w:p>
        </w:tc>
      </w:tr>
      <w:tr w:rsidTr="00C25EF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25EF2">
            <w:pPr>
              <w:pStyle w:val="BodyText"/>
              <w:rPr>
                <w:lang w:val="en-NZ"/>
              </w:rPr>
            </w:pPr>
            <w:r w:rsidRPr="00C25EF2">
              <w:t>4.4</w:t>
            </w:r>
          </w:p>
        </w:tc>
        <w:tc>
          <w:tcPr>
            <w:tcW w:w="5678" w:type="dxa"/>
            <w:tcBorders>
              <w:top w:val="nil"/>
              <w:left w:val="nil"/>
              <w:bottom w:val="nil"/>
              <w:right w:val="nil"/>
            </w:tcBorders>
            <w:tcMar>
              <w:top w:w="0" w:type="dxa"/>
              <w:left w:w="62" w:type="dxa"/>
              <w:bottom w:w="0" w:type="dxa"/>
              <w:right w:w="62" w:type="dxa"/>
            </w:tcMar>
          </w:tcPr>
          <w:p w:rsidR="00000000" w:rsidRPr="00C25EF2" w:rsidP="00C25EF2">
            <w:pPr>
              <w:pStyle w:val="BodyText"/>
            </w:pPr>
            <w:r w:rsidRPr="00C25EF2">
              <w:t>Instruct operator, if necessary, ensuring that all safety procedures and devices are in place</w:t>
            </w:r>
          </w:p>
        </w:tc>
      </w:tr>
    </w:tbl>
    <w:p w:rsidR="00000000" w:rsidRPr="00C25EF2" w:rsidP="00C25EF2">
      <w:pPr>
        <w:pStyle w:val="BodyText"/>
      </w:pPr>
    </w:p>
    <w:p w:rsidR="00000000" w:rsidRPr="00C25EF2" w:rsidP="00C25EF2">
      <w:pPr>
        <w:pStyle w:val="AllowPageBreak"/>
      </w:pPr>
    </w:p>
    <w:p w:rsidR="00000000" w:rsidRPr="00C25EF2" w:rsidP="00C25EF2">
      <w:pPr>
        <w:pStyle w:val="Heading1"/>
      </w:pPr>
      <w:bookmarkStart w:id="6" w:name="O_1169628"/>
      <w:bookmarkEnd w:id="6"/>
      <w:r w:rsidRPr="00C25EF2">
        <w:t>Foundation Skills</w:t>
      </w:r>
    </w:p>
    <w:p w:rsidR="00000000" w:rsidRPr="00C25EF2" w:rsidP="007B7BEB">
      <w:pPr>
        <w:pStyle w:val="BodyText"/>
      </w:pPr>
      <w:r w:rsidRPr="00C25EF2">
        <w:t>This section describes those required skill</w:t>
      </w:r>
      <w:r w:rsidRPr="00C25EF2">
        <w:t xml:space="preserve">s (reading, writing, oral communication and numeracy) that are essential to workplace performance in this unit of competency.  </w:t>
      </w:r>
    </w:p>
    <w:p w:rsidR="00000000" w:rsidRPr="00C25EF2" w:rsidP="007B7BEB">
      <w:pPr>
        <w:pStyle w:val="BodyText"/>
      </w:pPr>
      <w:r w:rsidRPr="00C25EF2">
        <w:t>Foundation skills essential to performance are explicit in the performance criteria of this unit of competency.</w:t>
      </w:r>
    </w:p>
    <w:p w:rsidR="00000000" w:rsidRPr="00C25EF2" w:rsidP="00C25EF2">
      <w:pPr>
        <w:pStyle w:val="Heading1"/>
      </w:pPr>
      <w:bookmarkStart w:id="7" w:name="O_1169627"/>
      <w:bookmarkEnd w:id="7"/>
      <w:r w:rsidRPr="00C25EF2">
        <w:t>Range of Conditions</w:t>
      </w:r>
    </w:p>
    <w:tbl>
      <w:tblPr>
        <w:tblW w:w="9286" w:type="dxa"/>
        <w:tblLayout w:type="fixed"/>
        <w:tblCellMar>
          <w:left w:w="62" w:type="dxa"/>
          <w:right w:w="62" w:type="dxa"/>
        </w:tblCellMar>
        <w:tblLook w:val="0000"/>
      </w:tblPr>
      <w:tblGrid>
        <w:gridCol w:w="2732"/>
        <w:gridCol w:w="6554"/>
      </w:tblGrid>
      <w:tr w:rsidTr="00C25EF2">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C25EF2">
            <w:pPr>
              <w:pStyle w:val="BodyText"/>
              <w:rPr>
                <w:lang w:val="en-NZ"/>
              </w:rPr>
            </w:pPr>
            <w:r w:rsidRPr="00C25EF2">
              <w:t>This field allows for different work environments and conditions that may affect performance. Essential operating conditions that may be present (depending on the work situation, accessibility of the item, and local industry and reg</w:t>
            </w:r>
            <w:r w:rsidRPr="00C25EF2">
              <w:t>ional contexts) are included.</w:t>
            </w:r>
          </w:p>
        </w:tc>
      </w:tr>
      <w:tr w:rsidTr="00C25EF2">
        <w:tblPrEx>
          <w:tblW w:w="9286" w:type="dxa"/>
          <w:tblLayout w:type="fixed"/>
          <w:tblCellMar>
            <w:left w:w="62" w:type="dxa"/>
            <w:right w:w="62" w:type="dxa"/>
          </w:tblCellMar>
          <w:tblLook w:val="0000"/>
        </w:tblPrEx>
        <w:trPr>
          <w:trHeight w:val="305"/>
        </w:trPr>
        <w:tc>
          <w:tcPr>
            <w:tcW w:w="2732" w:type="dxa"/>
            <w:tcBorders>
              <w:top w:val="nil"/>
              <w:left w:val="nil"/>
              <w:bottom w:val="nil"/>
              <w:right w:val="nil"/>
            </w:tcBorders>
            <w:tcMar>
              <w:top w:w="0" w:type="dxa"/>
              <w:left w:w="62" w:type="dxa"/>
              <w:bottom w:w="0" w:type="dxa"/>
              <w:right w:w="62" w:type="dxa"/>
            </w:tcMar>
          </w:tcPr>
          <w:p w:rsidR="00000000" w:rsidP="00C25EF2">
            <w:pPr>
              <w:pStyle w:val="BodyText"/>
              <w:rPr>
                <w:lang w:val="en-NZ"/>
              </w:rPr>
            </w:pPr>
            <w:r w:rsidRPr="00C25EF2">
              <w:rPr>
                <w:rStyle w:val="SpecialBold"/>
              </w:rPr>
              <w:t>Machines include one (1) or more of the following:</w:t>
            </w:r>
          </w:p>
        </w:tc>
        <w:tc>
          <w:tcPr>
            <w:tcW w:w="6554" w:type="dxa"/>
            <w:tcBorders>
              <w:top w:val="nil"/>
              <w:left w:val="nil"/>
              <w:bottom w:val="nil"/>
              <w:right w:val="nil"/>
            </w:tcBorders>
            <w:tcMar>
              <w:top w:w="0" w:type="dxa"/>
              <w:left w:w="62" w:type="dxa"/>
              <w:bottom w:w="0" w:type="dxa"/>
              <w:right w:w="62" w:type="dxa"/>
            </w:tcMar>
          </w:tcPr>
          <w:p w:rsidR="00000000" w:rsidRPr="00C25EF2" w:rsidP="00C25EF2">
            <w:pPr>
              <w:pStyle w:val="ListBullet"/>
            </w:pPr>
            <w:r w:rsidRPr="00C25EF2">
              <w:t>numerically controlled (NC) machines</w:t>
            </w:r>
          </w:p>
          <w:p w:rsidR="00000000" w:rsidRPr="00C25EF2" w:rsidP="00C25EF2">
            <w:pPr>
              <w:pStyle w:val="ListBullet"/>
            </w:pPr>
            <w:r w:rsidRPr="00C25EF2">
              <w:t xml:space="preserve">computer numerically controlled (CNC) machines </w:t>
            </w:r>
          </w:p>
          <w:p w:rsidR="00000000" w:rsidRPr="00C25EF2" w:rsidP="00C25EF2">
            <w:pPr>
              <w:pStyle w:val="ListBullet"/>
            </w:pPr>
            <w:r w:rsidRPr="00C25EF2">
              <w:t>industrial robots</w:t>
            </w:r>
          </w:p>
          <w:p w:rsidR="00000000" w:rsidRPr="00C25EF2" w:rsidP="00C25EF2">
            <w:pPr>
              <w:pStyle w:val="BodyText"/>
            </w:pPr>
          </w:p>
        </w:tc>
      </w:tr>
    </w:tbl>
    <w:p w:rsidR="00000000" w:rsidRPr="00C25EF2" w:rsidP="00C25EF2">
      <w:pPr>
        <w:pStyle w:val="BodyText"/>
      </w:pPr>
    </w:p>
    <w:p w:rsidR="00000000" w:rsidRPr="00C25EF2" w:rsidP="00C25EF2">
      <w:pPr>
        <w:pStyle w:val="AllowPageBreak"/>
      </w:pPr>
    </w:p>
    <w:p w:rsidR="00000000" w:rsidRPr="00C25EF2" w:rsidP="00C25EF2">
      <w:pPr>
        <w:pStyle w:val="Heading1"/>
      </w:pPr>
      <w:bookmarkStart w:id="8" w:name="O_1169626"/>
      <w:bookmarkEnd w:id="8"/>
      <w:r w:rsidRPr="00C25EF2">
        <w:t>Unit Mapping Information</w:t>
      </w:r>
    </w:p>
    <w:p w:rsidR="00000000" w:rsidRPr="00C25EF2" w:rsidP="007B7BEB">
      <w:pPr>
        <w:pStyle w:val="BodyText"/>
      </w:pPr>
      <w:r w:rsidRPr="00C25EF2">
        <w:t>Release 2. Supersedes and is equivalent to MEM07015 Set computer controlled machines and processes (Release 1).</w:t>
      </w:r>
    </w:p>
    <w:p w:rsidR="00000000" w:rsidRPr="00C25EF2" w:rsidP="007B7BEB">
      <w:pPr>
        <w:pStyle w:val="BodyText"/>
      </w:pPr>
      <w:r w:rsidRPr="00C25EF2">
        <w:t>Release 1. Supersedes and is equivalent to MEM07015B Set computer controlled machines and processes.</w:t>
      </w:r>
    </w:p>
    <w:p w:rsidR="00000000" w:rsidRPr="00C25EF2" w:rsidP="00C25EF2">
      <w:pPr>
        <w:pStyle w:val="Heading1"/>
      </w:pPr>
      <w:bookmarkStart w:id="9" w:name="O_1169634"/>
      <w:bookmarkEnd w:id="9"/>
      <w:r w:rsidRPr="00C25EF2">
        <w:t>Links</w:t>
      </w:r>
    </w:p>
    <w:p w:rsidR="00000000" w:rsidRPr="00C25EF2" w:rsidP="007B7BEB">
      <w:pPr>
        <w:pStyle w:val="BodyText"/>
      </w:pPr>
      <w:r w:rsidRPr="00C25EF2">
        <w:t>Companion Volume i</w:t>
      </w:r>
      <w:r w:rsidRPr="00C25EF2">
        <w:t xml:space="preserve">mplementation guides are found in VETNet - </w:t>
      </w:r>
      <w:r>
        <w:fldChar w:fldCharType="begin"/>
      </w:r>
      <w:r>
        <w:instrText xml:space="preserve"> HYPERLINK "https://vetnet.gov.au/Pages/TrainingDocs.aspx?q=b7050d37-5fd0-4740-8f7d-3b7a49c10bb2" </w:instrText>
      </w:r>
      <w:r>
        <w:fldChar w:fldCharType="separate"/>
      </w:r>
      <w:r w:rsidRPr="00075AD6">
        <w:rPr>
          <w:rStyle w:val="Hyperlink"/>
        </w:rPr>
        <w:t>https://vetnet.gov.au/Pages/TrainingDocs.aspx?q=b7050d37-5fd0-4740-8f7d-3b7a49c10bb2</w:t>
      </w:r>
      <w:r>
        <w:fldChar w:fldCharType="end"/>
      </w:r>
    </w:p>
    <w:p w:rsidR="00000000" w:rsidRPr="00C25EF2" w:rsidP="00C25EF2"/>
    <w:sectPr w:rsidSect="00C25EF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E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EF2" w:rsidRPr="007B7BEB" w:rsidP="007B7B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E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BEB" w:rsidP="00C25E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7BEB" w:rsidP="00C25EF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B7BEB" w:rsidP="00C25E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E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B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5EF2" w:rsidRPr="007B7BEB" w:rsidP="007B7B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E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BEB" w:rsidRPr="002D2AF8" w:rsidP="00C25EF2">
    <w:pPr>
      <w:pStyle w:val="Header"/>
      <w:framePr w:wrap="around"/>
    </w:pPr>
    <w:r>
      <w:fldChar w:fldCharType="begin"/>
    </w:r>
    <w:r>
      <w:instrText xml:space="preserve"> TITLE   \* MERGEFORMAT </w:instrText>
    </w:r>
    <w:r>
      <w:fldChar w:fldCharType="separate"/>
    </w:r>
    <w:r>
      <w:t>MEM07015 Set computer controlled machines and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7B7BEB" w:rsidP="00C25E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5F0A9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BAB7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E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5EF2"/>
    <w:pPr>
      <w:spacing w:before="360" w:after="60"/>
      <w:outlineLvl w:val="0"/>
    </w:pPr>
    <w:rPr>
      <w:sz w:val="32"/>
    </w:rPr>
  </w:style>
  <w:style w:type="paragraph" w:styleId="Heading2">
    <w:name w:val="heading 2"/>
    <w:basedOn w:val="HeadingBase"/>
    <w:next w:val="BodyText"/>
    <w:link w:val="Heading2Char"/>
    <w:qFormat/>
    <w:rsid w:val="00C25EF2"/>
    <w:pPr>
      <w:keepLines/>
      <w:spacing w:before="240" w:after="120"/>
      <w:outlineLvl w:val="1"/>
    </w:pPr>
    <w:rPr>
      <w:sz w:val="28"/>
      <w:szCs w:val="40"/>
    </w:rPr>
  </w:style>
  <w:style w:type="paragraph" w:styleId="Heading3">
    <w:name w:val="heading 3"/>
    <w:basedOn w:val="HeadingBase"/>
    <w:next w:val="BodyText"/>
    <w:link w:val="Heading3Char"/>
    <w:qFormat/>
    <w:rsid w:val="00C25EF2"/>
    <w:pPr>
      <w:spacing w:before="180" w:after="120"/>
      <w:outlineLvl w:val="2"/>
    </w:pPr>
    <w:rPr>
      <w:spacing w:val="-10"/>
      <w:kern w:val="32"/>
    </w:rPr>
  </w:style>
  <w:style w:type="paragraph" w:styleId="Heading4">
    <w:name w:val="heading 4"/>
    <w:basedOn w:val="HeadingBase"/>
    <w:next w:val="BodyText"/>
    <w:link w:val="Heading4Char"/>
    <w:qFormat/>
    <w:rsid w:val="00C25EF2"/>
    <w:pPr>
      <w:spacing w:before="160" w:after="120"/>
      <w:outlineLvl w:val="3"/>
    </w:pPr>
    <w:rPr>
      <w:sz w:val="22"/>
    </w:rPr>
  </w:style>
  <w:style w:type="paragraph" w:styleId="Heading5">
    <w:name w:val="heading 5"/>
    <w:basedOn w:val="HeadingBase"/>
    <w:next w:val="Normal"/>
    <w:link w:val="Heading5Char"/>
    <w:qFormat/>
    <w:rsid w:val="00C25EF2"/>
    <w:pPr>
      <w:spacing w:before="80"/>
      <w:outlineLvl w:val="4"/>
    </w:pPr>
    <w:rPr>
      <w:color w:val="918585"/>
      <w:sz w:val="20"/>
    </w:rPr>
  </w:style>
  <w:style w:type="paragraph" w:styleId="Heading6">
    <w:name w:val="heading 6"/>
    <w:basedOn w:val="HeadingBase"/>
    <w:next w:val="Normal"/>
    <w:link w:val="Heading6Char"/>
    <w:qFormat/>
    <w:rsid w:val="00C25EF2"/>
    <w:pPr>
      <w:spacing w:before="60"/>
      <w:outlineLvl w:val="5"/>
    </w:pPr>
    <w:rPr>
      <w:color w:val="918585"/>
      <w:sz w:val="20"/>
    </w:rPr>
  </w:style>
  <w:style w:type="paragraph" w:styleId="Heading7">
    <w:name w:val="heading 7"/>
    <w:basedOn w:val="Normal"/>
    <w:next w:val="Normal"/>
    <w:link w:val="Heading7Char"/>
    <w:qFormat/>
    <w:rsid w:val="00C25EF2"/>
    <w:pPr>
      <w:ind w:left="720"/>
      <w:outlineLvl w:val="6"/>
    </w:pPr>
    <w:rPr>
      <w:i/>
    </w:rPr>
  </w:style>
  <w:style w:type="paragraph" w:styleId="Heading8">
    <w:name w:val="heading 8"/>
    <w:basedOn w:val="Normal"/>
    <w:next w:val="Normal"/>
    <w:link w:val="Heading8Char"/>
    <w:qFormat/>
    <w:rsid w:val="00C25EF2"/>
    <w:pPr>
      <w:ind w:left="720"/>
      <w:outlineLvl w:val="7"/>
    </w:pPr>
    <w:rPr>
      <w:i/>
    </w:rPr>
  </w:style>
  <w:style w:type="paragraph" w:styleId="Heading9">
    <w:name w:val="heading 9"/>
    <w:basedOn w:val="Normal"/>
    <w:next w:val="Normal"/>
    <w:link w:val="Heading9Char"/>
    <w:qFormat/>
    <w:rsid w:val="00C25EF2"/>
    <w:pPr>
      <w:ind w:left="720"/>
      <w:outlineLvl w:val="8"/>
    </w:pPr>
    <w:rPr>
      <w:i/>
    </w:rPr>
  </w:style>
  <w:style w:type="character" w:default="1" w:styleId="DefaultParagraphFont">
    <w:name w:val="Default Paragraph Font"/>
    <w:uiPriority w:val="1"/>
    <w:unhideWhenUsed/>
    <w:rsid w:val="00C25E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5EF2"/>
  </w:style>
  <w:style w:type="character" w:customStyle="1" w:styleId="Heading1Char">
    <w:name w:val="Heading 1 Char"/>
    <w:basedOn w:val="DefaultParagraphFont"/>
    <w:link w:val="Heading1"/>
    <w:rsid w:val="00C25EF2"/>
    <w:rPr>
      <w:rFonts w:ascii="Times New Roman" w:eastAsia="Times New Roman" w:hAnsi="Times New Roman" w:cs="Times New Roman"/>
      <w:b/>
      <w:sz w:val="32"/>
      <w:szCs w:val="20"/>
      <w:lang w:eastAsia="en-US"/>
    </w:rPr>
  </w:style>
  <w:style w:type="paragraph" w:styleId="BodyText">
    <w:name w:val="Body Text"/>
    <w:basedOn w:val="Normal"/>
    <w:link w:val="BodyTextChar"/>
    <w:rsid w:val="00C25E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5EF2"/>
    <w:rPr>
      <w:rFonts w:ascii="Times New Roman" w:eastAsia="Times New Roman" w:hAnsi="Times New Roman" w:cs="Times New Roman"/>
      <w:sz w:val="24"/>
      <w:lang w:eastAsia="en-US"/>
    </w:rPr>
  </w:style>
  <w:style w:type="paragraph" w:styleId="ListBullet">
    <w:name w:val="List Bullet"/>
    <w:basedOn w:val="List"/>
    <w:rsid w:val="00C25EF2"/>
    <w:pPr>
      <w:numPr>
        <w:numId w:val="11"/>
      </w:numPr>
      <w:tabs>
        <w:tab w:val="clear" w:pos="340"/>
      </w:tabs>
      <w:spacing w:before="40" w:after="40"/>
    </w:pPr>
  </w:style>
  <w:style w:type="character" w:customStyle="1" w:styleId="SpecialBold">
    <w:name w:val="Special Bold"/>
    <w:basedOn w:val="DefaultParagraphFont"/>
    <w:rsid w:val="00C25EF2"/>
    <w:rPr>
      <w:b/>
      <w:spacing w:val="0"/>
    </w:rPr>
  </w:style>
  <w:style w:type="paragraph" w:customStyle="1" w:styleId="SuperHeading">
    <w:name w:val="SuperHeading"/>
    <w:basedOn w:val="Normal"/>
    <w:rsid w:val="00C25EF2"/>
    <w:pPr>
      <w:spacing w:before="240" w:after="120"/>
      <w:outlineLvl w:val="0"/>
    </w:pPr>
    <w:rPr>
      <w:rFonts w:ascii="Times New Roman" w:hAnsi="Times New Roman"/>
      <w:b/>
      <w:sz w:val="32"/>
    </w:rPr>
  </w:style>
  <w:style w:type="paragraph" w:customStyle="1" w:styleId="AllowPageBreak">
    <w:name w:val="AllowPageBreak"/>
    <w:rsid w:val="00C25E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5E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5E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5E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5E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5E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5E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5E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5EF2"/>
    <w:rPr>
      <w:rFonts w:ascii="Courier New" w:eastAsia="Times New Roman" w:hAnsi="Courier New" w:cs="Times New Roman"/>
      <w:i/>
      <w:szCs w:val="20"/>
      <w:lang w:eastAsia="en-US"/>
    </w:rPr>
  </w:style>
  <w:style w:type="paragraph" w:customStyle="1" w:styleId="HeadingBase">
    <w:name w:val="Heading Base"/>
    <w:rsid w:val="00C25E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5EF2"/>
    <w:pPr>
      <w:tabs>
        <w:tab w:val="right" w:leader="dot" w:pos="9072"/>
      </w:tabs>
      <w:ind w:left="567"/>
    </w:pPr>
    <w:rPr>
      <w:szCs w:val="22"/>
    </w:rPr>
  </w:style>
  <w:style w:type="paragraph" w:customStyle="1" w:styleId="TOCBase">
    <w:name w:val="TOC Base"/>
    <w:rsid w:val="00C25E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5EF2"/>
    <w:pPr>
      <w:tabs>
        <w:tab w:val="right" w:leader="dot" w:pos="9072"/>
      </w:tabs>
      <w:spacing w:before="40" w:after="40"/>
      <w:ind w:left="284"/>
    </w:pPr>
    <w:rPr>
      <w:rFonts w:ascii="Times New Roman" w:hAnsi="Times New Roman"/>
    </w:rPr>
  </w:style>
  <w:style w:type="paragraph" w:styleId="TOC1">
    <w:name w:val="toc 1"/>
    <w:basedOn w:val="TOCBase"/>
    <w:next w:val="Normal"/>
    <w:rsid w:val="00C25E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5E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5EF2"/>
    <w:rPr>
      <w:rFonts w:ascii="Times New Roman" w:eastAsia="Times New Roman" w:hAnsi="Times New Roman" w:cs="Times New Roman"/>
      <w:sz w:val="16"/>
      <w:lang w:eastAsia="en-US"/>
    </w:rPr>
  </w:style>
  <w:style w:type="paragraph" w:styleId="Title">
    <w:name w:val="Title"/>
    <w:basedOn w:val="HeadingBase"/>
    <w:link w:val="TitleChar"/>
    <w:qFormat/>
    <w:rsid w:val="00C25EF2"/>
    <w:pPr>
      <w:spacing w:before="5040"/>
      <w:jc w:val="center"/>
    </w:pPr>
    <w:rPr>
      <w:sz w:val="48"/>
      <w:szCs w:val="72"/>
      <w:lang w:val="en-US"/>
    </w:rPr>
  </w:style>
  <w:style w:type="character" w:customStyle="1" w:styleId="TitleChar">
    <w:name w:val="Title Char"/>
    <w:basedOn w:val="DefaultParagraphFont"/>
    <w:link w:val="Title"/>
    <w:rsid w:val="00C25E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5EF2"/>
    <w:pPr>
      <w:tabs>
        <w:tab w:val="left" w:pos="3600"/>
        <w:tab w:val="left" w:pos="3958"/>
      </w:tabs>
    </w:pPr>
  </w:style>
  <w:style w:type="paragraph" w:styleId="List">
    <w:name w:val="List"/>
    <w:basedOn w:val="BodyText"/>
    <w:next w:val="BodyText"/>
    <w:rsid w:val="00C25EF2"/>
    <w:pPr>
      <w:tabs>
        <w:tab w:val="left" w:pos="340"/>
      </w:tabs>
      <w:spacing w:before="60" w:after="60"/>
      <w:ind w:left="340" w:hanging="340"/>
    </w:pPr>
  </w:style>
  <w:style w:type="paragraph" w:customStyle="1" w:styleId="Note">
    <w:name w:val="Note"/>
    <w:basedOn w:val="BodyText"/>
    <w:rsid w:val="00C25E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5EF2"/>
    <w:pPr>
      <w:framePr w:wrap="auto" w:hAnchor="text" w:y="6049"/>
    </w:pPr>
    <w:rPr>
      <w:color w:val="000000"/>
      <w:sz w:val="40"/>
    </w:rPr>
  </w:style>
  <w:style w:type="paragraph" w:customStyle="1" w:styleId="TOCTitle">
    <w:name w:val="TOCTitle"/>
    <w:basedOn w:val="Heading1"/>
    <w:rsid w:val="00C25EF2"/>
    <w:pPr>
      <w:spacing w:after="240"/>
      <w:jc w:val="center"/>
      <w:outlineLvl w:val="9"/>
    </w:pPr>
    <w:rPr>
      <w:caps/>
    </w:rPr>
  </w:style>
  <w:style w:type="paragraph" w:customStyle="1" w:styleId="Version">
    <w:name w:val="Version"/>
    <w:rsid w:val="00C25E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5EF2"/>
    <w:pPr>
      <w:numPr>
        <w:numId w:val="12"/>
      </w:numPr>
      <w:tabs>
        <w:tab w:val="clear" w:pos="680"/>
      </w:tabs>
    </w:pPr>
  </w:style>
  <w:style w:type="paragraph" w:styleId="Index1">
    <w:name w:val="index 1"/>
    <w:basedOn w:val="Normal"/>
    <w:next w:val="Normal"/>
    <w:semiHidden/>
    <w:rsid w:val="00C25EF2"/>
    <w:pPr>
      <w:keepNext w:val="0"/>
      <w:tabs>
        <w:tab w:val="right" w:pos="4176"/>
      </w:tabs>
      <w:ind w:left="198" w:hanging="198"/>
    </w:pPr>
    <w:rPr>
      <w:rFonts w:ascii="Garamond" w:hAnsi="Garamond"/>
    </w:rPr>
  </w:style>
  <w:style w:type="paragraph" w:styleId="IndexHeading">
    <w:name w:val="index heading"/>
    <w:basedOn w:val="Normal"/>
    <w:next w:val="Index1"/>
    <w:semiHidden/>
    <w:rsid w:val="00C25EF2"/>
    <w:pPr>
      <w:spacing w:before="120" w:after="120"/>
    </w:pPr>
    <w:rPr>
      <w:rFonts w:ascii="Arial" w:hAnsi="Arial"/>
      <w:b/>
      <w:color w:val="918585"/>
      <w:sz w:val="24"/>
    </w:rPr>
  </w:style>
  <w:style w:type="paragraph" w:styleId="Header">
    <w:name w:val="header"/>
    <w:basedOn w:val="Normal"/>
    <w:link w:val="HeaderChar"/>
    <w:rsid w:val="00C25E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5EF2"/>
    <w:rPr>
      <w:rFonts w:ascii="Times New Roman" w:eastAsia="Times New Roman" w:hAnsi="Times New Roman" w:cs="Times New Roman"/>
      <w:sz w:val="16"/>
      <w:szCs w:val="20"/>
      <w:lang w:val="en-GB" w:eastAsia="en-US"/>
    </w:rPr>
  </w:style>
  <w:style w:type="paragraph" w:customStyle="1" w:styleId="Chapter">
    <w:name w:val="Chapter"/>
    <w:basedOn w:val="Normal"/>
    <w:rsid w:val="00C25EF2"/>
    <w:pPr>
      <w:spacing w:before="240"/>
    </w:pPr>
    <w:rPr>
      <w:rFonts w:ascii="Times New Roman" w:hAnsi="Times New Roman"/>
      <w:smallCaps/>
      <w:spacing w:val="80"/>
      <w:sz w:val="28"/>
    </w:rPr>
  </w:style>
  <w:style w:type="paragraph" w:customStyle="1" w:styleId="InChapter">
    <w:name w:val="InChapter"/>
    <w:basedOn w:val="Heading3"/>
    <w:rsid w:val="00C25EF2"/>
    <w:pPr>
      <w:spacing w:after="240"/>
      <w:outlineLvl w:val="9"/>
    </w:pPr>
    <w:rPr>
      <w:noProof/>
    </w:rPr>
  </w:style>
  <w:style w:type="paragraph" w:styleId="Index2">
    <w:name w:val="index 2"/>
    <w:basedOn w:val="Normal"/>
    <w:next w:val="Normal"/>
    <w:semiHidden/>
    <w:rsid w:val="00C25EF2"/>
    <w:pPr>
      <w:tabs>
        <w:tab w:val="right" w:pos="4176"/>
      </w:tabs>
      <w:ind w:left="568" w:hanging="284"/>
    </w:pPr>
    <w:rPr>
      <w:rFonts w:ascii="Garamond" w:hAnsi="Garamond"/>
    </w:rPr>
  </w:style>
  <w:style w:type="paragraph" w:customStyle="1" w:styleId="Byline">
    <w:name w:val="Byline"/>
    <w:rsid w:val="00C25E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5EF2"/>
    <w:pPr>
      <w:tabs>
        <w:tab w:val="clear" w:pos="3600"/>
        <w:tab w:val="clear" w:pos="3958"/>
      </w:tabs>
      <w:jc w:val="right"/>
    </w:pPr>
  </w:style>
  <w:style w:type="character" w:styleId="Emphasis">
    <w:name w:val="Emphasis"/>
    <w:basedOn w:val="DefaultParagraphFont"/>
    <w:qFormat/>
    <w:rsid w:val="00C25EF2"/>
    <w:rPr>
      <w:i/>
    </w:rPr>
  </w:style>
  <w:style w:type="paragraph" w:styleId="Caption">
    <w:name w:val="caption"/>
    <w:basedOn w:val="BodyText"/>
    <w:next w:val="Normal"/>
    <w:qFormat/>
    <w:rsid w:val="00C25EF2"/>
    <w:pPr>
      <w:framePr w:w="2268" w:hSpace="181" w:vSpace="181" w:wrap="around" w:vAnchor="text" w:hAnchor="page" w:x="1135" w:y="285" w:anchorLock="1"/>
    </w:pPr>
    <w:rPr>
      <w:i/>
    </w:rPr>
  </w:style>
  <w:style w:type="paragraph" w:customStyle="1" w:styleId="MiniTOCTitle">
    <w:name w:val="MiniTOCTitle"/>
    <w:basedOn w:val="Heading4"/>
    <w:rsid w:val="00C25EF2"/>
    <w:pPr>
      <w:spacing w:before="240"/>
      <w:outlineLvl w:val="9"/>
    </w:pPr>
    <w:rPr>
      <w:noProof/>
      <w:sz w:val="24"/>
    </w:rPr>
  </w:style>
  <w:style w:type="paragraph" w:customStyle="1" w:styleId="MiniTOCItem">
    <w:name w:val="MiniTOCItem"/>
    <w:basedOn w:val="ListBullet"/>
    <w:rsid w:val="00C25EF2"/>
    <w:pPr>
      <w:numPr>
        <w:numId w:val="0"/>
      </w:numPr>
      <w:tabs>
        <w:tab w:val="right" w:leader="dot" w:pos="6521"/>
      </w:tabs>
      <w:spacing w:before="0" w:after="0"/>
    </w:pPr>
  </w:style>
  <w:style w:type="paragraph" w:customStyle="1" w:styleId="TOFTitle">
    <w:name w:val="TOFTitle"/>
    <w:basedOn w:val="TOCTitle"/>
    <w:rsid w:val="00C25EF2"/>
  </w:style>
  <w:style w:type="paragraph" w:styleId="TableofFigures">
    <w:name w:val="table of figures"/>
    <w:basedOn w:val="Normal"/>
    <w:next w:val="Normal"/>
    <w:semiHidden/>
    <w:rsid w:val="00C25EF2"/>
    <w:pPr>
      <w:tabs>
        <w:tab w:val="right" w:leader="dot" w:pos="9072"/>
      </w:tabs>
      <w:ind w:left="970" w:hanging="403"/>
    </w:pPr>
    <w:rPr>
      <w:rFonts w:ascii="Times New Roman" w:hAnsi="Times New Roman"/>
      <w:b/>
    </w:rPr>
  </w:style>
  <w:style w:type="paragraph" w:styleId="ListNumber">
    <w:name w:val="List Number"/>
    <w:basedOn w:val="List"/>
    <w:rsid w:val="00C25EF2"/>
    <w:pPr>
      <w:numPr>
        <w:numId w:val="14"/>
      </w:numPr>
      <w:tabs>
        <w:tab w:val="clear" w:pos="340"/>
      </w:tabs>
    </w:pPr>
  </w:style>
  <w:style w:type="character" w:customStyle="1" w:styleId="WingdingSymbols">
    <w:name w:val="Wingding Symbols"/>
    <w:rsid w:val="00C25EF2"/>
    <w:rPr>
      <w:rFonts w:ascii="Wingdings" w:hAnsi="Wingdings"/>
    </w:rPr>
  </w:style>
  <w:style w:type="paragraph" w:customStyle="1" w:styleId="TableHeading">
    <w:name w:val="Table Heading"/>
    <w:basedOn w:val="HeadingBase"/>
    <w:rsid w:val="00C25EF2"/>
    <w:pPr>
      <w:keepLines/>
      <w:pBdr>
        <w:bottom w:val="single" w:sz="6" w:space="1" w:color="918585"/>
      </w:pBdr>
      <w:spacing w:before="240"/>
    </w:pPr>
  </w:style>
  <w:style w:type="character" w:customStyle="1" w:styleId="HotSpot">
    <w:name w:val="HotSpot"/>
    <w:rsid w:val="00C25EF2"/>
    <w:rPr>
      <w:color w:val="0033CC"/>
      <w:u w:val="none"/>
    </w:rPr>
  </w:style>
  <w:style w:type="paragraph" w:customStyle="1" w:styleId="BodyTextRight">
    <w:name w:val="Body Text Right"/>
    <w:basedOn w:val="BodyText"/>
    <w:rsid w:val="00C25EF2"/>
    <w:pPr>
      <w:spacing w:before="0" w:after="0"/>
      <w:jc w:val="right"/>
    </w:pPr>
  </w:style>
  <w:style w:type="paragraph" w:styleId="Index3">
    <w:name w:val="index 3"/>
    <w:basedOn w:val="ListNumber2"/>
    <w:next w:val="Normal"/>
    <w:semiHidden/>
    <w:rsid w:val="00C25EF2"/>
    <w:pPr>
      <w:numPr>
        <w:numId w:val="0"/>
      </w:numPr>
      <w:tabs>
        <w:tab w:val="right" w:leader="dot" w:pos="4176"/>
      </w:tabs>
    </w:pPr>
  </w:style>
  <w:style w:type="paragraph" w:styleId="ListNumber2">
    <w:name w:val="List Number 2"/>
    <w:basedOn w:val="List2"/>
    <w:rsid w:val="00C25EF2"/>
    <w:pPr>
      <w:numPr>
        <w:numId w:val="9"/>
      </w:numPr>
      <w:tabs>
        <w:tab w:val="clear" w:pos="1060"/>
      </w:tabs>
    </w:pPr>
  </w:style>
  <w:style w:type="paragraph" w:customStyle="1" w:styleId="MarginNote">
    <w:name w:val="Margin Note"/>
    <w:basedOn w:val="BodyText"/>
    <w:rsid w:val="00C25E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5E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5E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5EF2"/>
    <w:rPr>
      <w:sz w:val="32"/>
    </w:rPr>
  </w:style>
  <w:style w:type="paragraph" w:customStyle="1" w:styleId="HeadingProcedure">
    <w:name w:val="Heading Procedure"/>
    <w:basedOn w:val="HeadingBase"/>
    <w:next w:val="Normal"/>
    <w:rsid w:val="00C25EF2"/>
    <w:pPr>
      <w:tabs>
        <w:tab w:val="left" w:pos="0"/>
      </w:tabs>
      <w:spacing w:before="120" w:after="60"/>
    </w:pPr>
    <w:rPr>
      <w:i/>
      <w:color w:val="918585"/>
      <w:sz w:val="22"/>
    </w:rPr>
  </w:style>
  <w:style w:type="paragraph" w:customStyle="1" w:styleId="TableBodyText">
    <w:name w:val="Table Body Text"/>
    <w:basedOn w:val="BodyText"/>
    <w:rsid w:val="00C25EF2"/>
    <w:pPr>
      <w:spacing w:before="60" w:after="60"/>
    </w:pPr>
  </w:style>
  <w:style w:type="paragraph" w:styleId="ListContinue">
    <w:name w:val="List Continue"/>
    <w:basedOn w:val="List"/>
    <w:rsid w:val="00C25EF2"/>
    <w:pPr>
      <w:ind w:firstLine="0"/>
    </w:pPr>
  </w:style>
  <w:style w:type="paragraph" w:customStyle="1" w:styleId="ListNote">
    <w:name w:val="List Note"/>
    <w:basedOn w:val="List"/>
    <w:rsid w:val="00C25EF2"/>
    <w:pPr>
      <w:pBdr>
        <w:top w:val="single" w:sz="6" w:space="2" w:color="918585"/>
        <w:bottom w:val="single" w:sz="6" w:space="2" w:color="918585"/>
      </w:pBdr>
      <w:tabs>
        <w:tab w:val="left" w:pos="1021"/>
      </w:tabs>
      <w:ind w:firstLine="0"/>
    </w:pPr>
  </w:style>
  <w:style w:type="paragraph" w:customStyle="1" w:styleId="Warning">
    <w:name w:val="Warning"/>
    <w:basedOn w:val="BodyText"/>
    <w:rsid w:val="00C25EF2"/>
    <w:pPr>
      <w:shd w:val="clear" w:color="auto" w:fill="D9D9D9"/>
      <w:tabs>
        <w:tab w:val="left" w:pos="992"/>
      </w:tabs>
      <w:ind w:left="119" w:right="119"/>
    </w:pPr>
    <w:rPr>
      <w:sz w:val="20"/>
    </w:rPr>
  </w:style>
  <w:style w:type="paragraph" w:customStyle="1" w:styleId="MarginIcons">
    <w:name w:val="Margin Icons"/>
    <w:basedOn w:val="BodyText"/>
    <w:rsid w:val="00C25E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5EF2"/>
    <w:rPr>
      <w:rFonts w:ascii="Courier New" w:hAnsi="Courier New"/>
    </w:rPr>
  </w:style>
  <w:style w:type="paragraph" w:customStyle="1" w:styleId="NoteBullet">
    <w:name w:val="Note Bullet"/>
    <w:basedOn w:val="Note"/>
    <w:rsid w:val="00C25EF2"/>
    <w:pPr>
      <w:tabs>
        <w:tab w:val="clear" w:pos="680"/>
      </w:tabs>
      <w:spacing w:before="60" w:after="60"/>
    </w:pPr>
  </w:style>
  <w:style w:type="paragraph" w:customStyle="1" w:styleId="SubHeading2">
    <w:name w:val="SubHeading2"/>
    <w:basedOn w:val="HeadingBase"/>
    <w:rsid w:val="00C25EF2"/>
    <w:pPr>
      <w:spacing w:before="240" w:after="60"/>
    </w:pPr>
    <w:rPr>
      <w:sz w:val="20"/>
    </w:rPr>
  </w:style>
  <w:style w:type="paragraph" w:customStyle="1" w:styleId="SubHeading1">
    <w:name w:val="SubHeading1"/>
    <w:basedOn w:val="HeadingBase"/>
    <w:rsid w:val="00C25EF2"/>
    <w:pPr>
      <w:spacing w:before="240" w:after="60"/>
    </w:pPr>
    <w:rPr>
      <w:color w:val="918585"/>
      <w:sz w:val="22"/>
    </w:rPr>
  </w:style>
  <w:style w:type="paragraph" w:customStyle="1" w:styleId="SideHeading">
    <w:name w:val="Side Heading"/>
    <w:basedOn w:val="HeadingBase"/>
    <w:rsid w:val="00C25E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5EF2"/>
    <w:pPr>
      <w:numPr>
        <w:numId w:val="10"/>
      </w:numPr>
    </w:pPr>
  </w:style>
  <w:style w:type="paragraph" w:styleId="PlainText">
    <w:name w:val="Plain Text"/>
    <w:basedOn w:val="Normal"/>
    <w:link w:val="PlainTextChar"/>
    <w:rsid w:val="00C25EF2"/>
    <w:rPr>
      <w:sz w:val="20"/>
    </w:rPr>
  </w:style>
  <w:style w:type="character" w:customStyle="1" w:styleId="PlainTextChar">
    <w:name w:val="Plain Text Char"/>
    <w:basedOn w:val="DefaultParagraphFont"/>
    <w:link w:val="PlainText"/>
    <w:rsid w:val="00C25EF2"/>
    <w:rPr>
      <w:rFonts w:ascii="Courier New" w:eastAsia="Times New Roman" w:hAnsi="Courier New" w:cs="Times New Roman"/>
      <w:sz w:val="20"/>
      <w:szCs w:val="20"/>
      <w:lang w:eastAsia="en-US"/>
    </w:rPr>
  </w:style>
  <w:style w:type="character" w:customStyle="1" w:styleId="MenuOption">
    <w:name w:val="Menu Option"/>
    <w:basedOn w:val="DefaultParagraphFont"/>
    <w:rsid w:val="00C25EF2"/>
    <w:rPr>
      <w:b/>
      <w:smallCaps/>
    </w:rPr>
  </w:style>
  <w:style w:type="paragraph" w:customStyle="1" w:styleId="TableListNumber">
    <w:name w:val="Table List Number"/>
    <w:basedOn w:val="ListNumber"/>
    <w:rsid w:val="00C25EF2"/>
    <w:pPr>
      <w:numPr>
        <w:numId w:val="0"/>
      </w:numPr>
    </w:pPr>
  </w:style>
  <w:style w:type="paragraph" w:styleId="TOC4">
    <w:name w:val="toc 4"/>
    <w:basedOn w:val="TOCBase"/>
    <w:next w:val="Normal"/>
    <w:semiHidden/>
    <w:rsid w:val="00C25EF2"/>
    <w:pPr>
      <w:tabs>
        <w:tab w:val="right" w:leader="dot" w:pos="9071"/>
      </w:tabs>
      <w:ind w:left="1701"/>
    </w:pPr>
  </w:style>
  <w:style w:type="paragraph" w:customStyle="1" w:styleId="ListAlpha">
    <w:name w:val="List Alpha"/>
    <w:basedOn w:val="List"/>
    <w:rsid w:val="00C25EF2"/>
    <w:pPr>
      <w:numPr>
        <w:numId w:val="8"/>
      </w:numPr>
    </w:pPr>
  </w:style>
  <w:style w:type="paragraph" w:customStyle="1" w:styleId="ListAlpha2">
    <w:name w:val="List Alpha 2"/>
    <w:basedOn w:val="List2"/>
    <w:rsid w:val="00C25EF2"/>
    <w:pPr>
      <w:numPr>
        <w:numId w:val="7"/>
      </w:numPr>
    </w:pPr>
  </w:style>
  <w:style w:type="paragraph" w:styleId="List2">
    <w:name w:val="List 2"/>
    <w:basedOn w:val="BodyText"/>
    <w:rsid w:val="00C25EF2"/>
    <w:pPr>
      <w:tabs>
        <w:tab w:val="left" w:pos="680"/>
      </w:tabs>
      <w:spacing w:before="60" w:after="60"/>
      <w:ind w:left="680" w:hanging="340"/>
    </w:pPr>
  </w:style>
  <w:style w:type="paragraph" w:styleId="List3">
    <w:name w:val="List 3"/>
    <w:basedOn w:val="BodyText"/>
    <w:rsid w:val="00C25EF2"/>
    <w:pPr>
      <w:tabs>
        <w:tab w:val="left" w:pos="1021"/>
      </w:tabs>
      <w:spacing w:before="60" w:after="60"/>
      <w:ind w:left="1020" w:hanging="340"/>
    </w:pPr>
  </w:style>
  <w:style w:type="paragraph" w:styleId="List4">
    <w:name w:val="List 4"/>
    <w:basedOn w:val="BodyText"/>
    <w:rsid w:val="00C25EF2"/>
    <w:pPr>
      <w:tabs>
        <w:tab w:val="left" w:pos="1361"/>
      </w:tabs>
      <w:spacing w:before="60" w:after="60"/>
      <w:ind w:left="1361" w:hanging="340"/>
    </w:pPr>
  </w:style>
  <w:style w:type="paragraph" w:styleId="List5">
    <w:name w:val="List 5"/>
    <w:basedOn w:val="BodyText"/>
    <w:rsid w:val="00C25EF2"/>
    <w:pPr>
      <w:tabs>
        <w:tab w:val="left" w:pos="1701"/>
      </w:tabs>
      <w:spacing w:before="60" w:after="60"/>
      <w:ind w:left="1701" w:hanging="340"/>
    </w:pPr>
  </w:style>
  <w:style w:type="paragraph" w:styleId="ListBullet3">
    <w:name w:val="List Bullet 3"/>
    <w:basedOn w:val="List3"/>
    <w:rsid w:val="00C25EF2"/>
    <w:pPr>
      <w:numPr>
        <w:numId w:val="13"/>
      </w:numPr>
      <w:tabs>
        <w:tab w:val="clear" w:pos="1021"/>
      </w:tabs>
      <w:ind w:left="1037" w:hanging="357"/>
    </w:pPr>
  </w:style>
  <w:style w:type="paragraph" w:styleId="ListBullet4">
    <w:name w:val="List Bullet 4"/>
    <w:basedOn w:val="List4"/>
    <w:rsid w:val="00C25EF2"/>
    <w:pPr>
      <w:numPr>
        <w:numId w:val="2"/>
      </w:numPr>
      <w:tabs>
        <w:tab w:val="clear" w:pos="1361"/>
      </w:tabs>
    </w:pPr>
  </w:style>
  <w:style w:type="paragraph" w:styleId="ListBullet5">
    <w:name w:val="List Bullet 5"/>
    <w:basedOn w:val="List5"/>
    <w:rsid w:val="00C25EF2"/>
    <w:pPr>
      <w:numPr>
        <w:numId w:val="3"/>
      </w:numPr>
    </w:pPr>
  </w:style>
  <w:style w:type="paragraph" w:styleId="ListContinue2">
    <w:name w:val="List Continue 2"/>
    <w:basedOn w:val="List2"/>
    <w:rsid w:val="00C25EF2"/>
    <w:pPr>
      <w:ind w:firstLine="0"/>
    </w:pPr>
  </w:style>
  <w:style w:type="paragraph" w:styleId="ListContinue3">
    <w:name w:val="List Continue 3"/>
    <w:basedOn w:val="List3"/>
    <w:rsid w:val="00C25EF2"/>
    <w:pPr>
      <w:ind w:left="1021" w:firstLine="0"/>
    </w:pPr>
  </w:style>
  <w:style w:type="paragraph" w:styleId="ListContinue4">
    <w:name w:val="List Continue 4"/>
    <w:basedOn w:val="List4"/>
    <w:rsid w:val="00C25EF2"/>
    <w:pPr>
      <w:ind w:firstLine="0"/>
    </w:pPr>
  </w:style>
  <w:style w:type="paragraph" w:styleId="ListContinue5">
    <w:name w:val="List Continue 5"/>
    <w:basedOn w:val="List5"/>
    <w:rsid w:val="00C25EF2"/>
    <w:pPr>
      <w:ind w:firstLine="0"/>
    </w:pPr>
  </w:style>
  <w:style w:type="paragraph" w:styleId="ListNumber3">
    <w:name w:val="List Number 3"/>
    <w:basedOn w:val="List3"/>
    <w:rsid w:val="00C25EF2"/>
    <w:pPr>
      <w:numPr>
        <w:numId w:val="4"/>
      </w:numPr>
    </w:pPr>
  </w:style>
  <w:style w:type="paragraph" w:styleId="ListNumber4">
    <w:name w:val="List Number 4"/>
    <w:basedOn w:val="List4"/>
    <w:rsid w:val="00C25EF2"/>
    <w:pPr>
      <w:numPr>
        <w:numId w:val="5"/>
      </w:numPr>
    </w:pPr>
  </w:style>
  <w:style w:type="paragraph" w:styleId="ListNumber5">
    <w:name w:val="List Number 5"/>
    <w:basedOn w:val="List5"/>
    <w:rsid w:val="00C25EF2"/>
    <w:pPr>
      <w:numPr>
        <w:numId w:val="6"/>
      </w:numPr>
    </w:pPr>
  </w:style>
  <w:style w:type="paragraph" w:styleId="BlockText">
    <w:name w:val="Block Text"/>
    <w:basedOn w:val="Normal"/>
    <w:rsid w:val="00C25EF2"/>
    <w:pPr>
      <w:spacing w:after="120"/>
      <w:ind w:left="1440" w:right="1440"/>
    </w:pPr>
  </w:style>
  <w:style w:type="character" w:customStyle="1" w:styleId="Subscript">
    <w:name w:val="Subscript"/>
    <w:basedOn w:val="DefaultParagraphFont"/>
    <w:rsid w:val="00C25EF2"/>
    <w:rPr>
      <w:sz w:val="16"/>
      <w:vertAlign w:val="subscript"/>
    </w:rPr>
  </w:style>
  <w:style w:type="character" w:customStyle="1" w:styleId="Superscript">
    <w:name w:val="Superscript"/>
    <w:basedOn w:val="DefaultParagraphFont"/>
    <w:rsid w:val="00C25EF2"/>
    <w:rPr>
      <w:sz w:val="16"/>
      <w:vertAlign w:val="superscript"/>
    </w:rPr>
  </w:style>
  <w:style w:type="character" w:customStyle="1" w:styleId="Symbols">
    <w:name w:val="Symbols"/>
    <w:basedOn w:val="DefaultParagraphFont"/>
    <w:rsid w:val="00C25EF2"/>
    <w:rPr>
      <w:rFonts w:ascii="Symbol" w:hAnsi="Symbol"/>
    </w:rPr>
  </w:style>
  <w:style w:type="character" w:customStyle="1" w:styleId="MenuOptions">
    <w:name w:val="Menu Options"/>
    <w:basedOn w:val="DefaultParagraphFont"/>
    <w:rsid w:val="00C25EF2"/>
    <w:rPr>
      <w:rFonts w:ascii="Arial Narrow" w:hAnsi="Arial Narrow"/>
      <w:smallCaps/>
    </w:rPr>
  </w:style>
  <w:style w:type="character" w:customStyle="1" w:styleId="Buttons">
    <w:name w:val="Buttons"/>
    <w:basedOn w:val="DefaultParagraphFont"/>
    <w:rsid w:val="00C25EF2"/>
    <w:rPr>
      <w:b/>
    </w:rPr>
  </w:style>
  <w:style w:type="character" w:customStyle="1" w:styleId="Underlined">
    <w:name w:val="Underlined"/>
    <w:basedOn w:val="DefaultParagraphFont"/>
    <w:rsid w:val="00C25EF2"/>
    <w:rPr>
      <w:u w:val="single"/>
    </w:rPr>
  </w:style>
  <w:style w:type="paragraph" w:customStyle="1" w:styleId="TableBodyTextRight">
    <w:name w:val="Table Body Text Right"/>
    <w:basedOn w:val="TableBodyText"/>
    <w:rsid w:val="00C25EF2"/>
    <w:pPr>
      <w:widowControl w:val="0"/>
      <w:autoSpaceDE w:val="0"/>
      <w:autoSpaceDN w:val="0"/>
      <w:adjustRightInd w:val="0"/>
      <w:jc w:val="right"/>
    </w:pPr>
    <w:rPr>
      <w:rFonts w:cs="Arial"/>
      <w:szCs w:val="18"/>
    </w:rPr>
  </w:style>
  <w:style w:type="paragraph" w:customStyle="1" w:styleId="CopyrightText">
    <w:name w:val="Copyright Text"/>
    <w:basedOn w:val="BodyText"/>
    <w:rsid w:val="00C25EF2"/>
    <w:rPr>
      <w:sz w:val="18"/>
    </w:rPr>
  </w:style>
  <w:style w:type="paragraph" w:customStyle="1" w:styleId="BodySmallRight">
    <w:name w:val="Body Small Right"/>
    <w:basedOn w:val="BodyTextRight"/>
    <w:rsid w:val="00C25EF2"/>
    <w:rPr>
      <w:sz w:val="18"/>
      <w:szCs w:val="18"/>
    </w:rPr>
  </w:style>
  <w:style w:type="paragraph" w:customStyle="1" w:styleId="MarginEdition">
    <w:name w:val="Margin Edition"/>
    <w:basedOn w:val="MarginNote"/>
    <w:rsid w:val="00C25EF2"/>
    <w:pPr>
      <w:spacing w:before="0" w:after="0"/>
    </w:pPr>
    <w:rPr>
      <w:rFonts w:ascii="Times New Roman" w:hAnsi="Times New Roman"/>
      <w:color w:val="999999"/>
    </w:rPr>
  </w:style>
  <w:style w:type="paragraph" w:customStyle="1" w:styleId="Spacer">
    <w:name w:val="Spacer"/>
    <w:basedOn w:val="Normal"/>
    <w:rsid w:val="00C25EF2"/>
    <w:rPr>
      <w:sz w:val="2"/>
      <w:szCs w:val="2"/>
    </w:rPr>
  </w:style>
  <w:style w:type="character" w:customStyle="1" w:styleId="Small">
    <w:name w:val="Small"/>
    <w:basedOn w:val="DefaultParagraphFont"/>
    <w:rsid w:val="00C25EF2"/>
    <w:rPr>
      <w:sz w:val="16"/>
    </w:rPr>
  </w:style>
  <w:style w:type="paragraph" w:customStyle="1" w:styleId="WideTable">
    <w:name w:val="Wide Table"/>
    <w:basedOn w:val="Normal"/>
    <w:rsid w:val="00C25EF2"/>
    <w:pPr>
      <w:ind w:left="-1418"/>
    </w:pPr>
    <w:rPr>
      <w:sz w:val="2"/>
      <w:szCs w:val="2"/>
    </w:rPr>
  </w:style>
  <w:style w:type="character" w:styleId="PageNumber">
    <w:name w:val="page number"/>
    <w:basedOn w:val="DefaultParagraphFont"/>
    <w:rsid w:val="00C25EF2"/>
  </w:style>
  <w:style w:type="paragraph" w:styleId="Quote">
    <w:name w:val="Quote"/>
    <w:basedOn w:val="Heading1"/>
    <w:link w:val="QuoteChar"/>
    <w:qFormat/>
    <w:rsid w:val="00C25EF2"/>
    <w:rPr>
      <w:b w:val="0"/>
      <w:sz w:val="72"/>
      <w:szCs w:val="72"/>
      <w:lang w:val="en-NZ"/>
    </w:rPr>
  </w:style>
  <w:style w:type="character" w:customStyle="1" w:styleId="QuoteChar">
    <w:name w:val="Quote Char"/>
    <w:basedOn w:val="DefaultParagraphFont"/>
    <w:link w:val="Quote"/>
    <w:rsid w:val="00C25E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5EF2"/>
    <w:pPr>
      <w:pageBreakBefore/>
    </w:pPr>
  </w:style>
  <w:style w:type="paragraph" w:customStyle="1" w:styleId="Border">
    <w:name w:val="Border"/>
    <w:basedOn w:val="Normal"/>
    <w:qFormat/>
    <w:rsid w:val="00C25E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5EF2"/>
    <w:rPr>
      <w:b/>
      <w:bCs/>
      <w:i/>
      <w:iCs/>
      <w:color w:val="auto"/>
    </w:rPr>
  </w:style>
  <w:style w:type="paragraph" w:styleId="IntenseQuote">
    <w:name w:val="Intense Quote"/>
    <w:basedOn w:val="Normal"/>
    <w:next w:val="Normal"/>
    <w:link w:val="IntenseQuoteChar"/>
    <w:uiPriority w:val="30"/>
    <w:qFormat/>
    <w:rsid w:val="00C25E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5E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5EF2"/>
    <w:rPr>
      <w:smallCaps/>
      <w:color w:val="auto"/>
      <w:u w:val="single"/>
    </w:rPr>
  </w:style>
  <w:style w:type="character" w:styleId="IntenseReference">
    <w:name w:val="Intense Reference"/>
    <w:basedOn w:val="DefaultParagraphFont"/>
    <w:uiPriority w:val="32"/>
    <w:qFormat/>
    <w:rsid w:val="00C25EF2"/>
    <w:rPr>
      <w:b/>
      <w:bCs/>
      <w:smallCaps/>
      <w:color w:val="auto"/>
      <w:spacing w:val="5"/>
      <w:u w:val="single"/>
    </w:rPr>
  </w:style>
  <w:style w:type="paragraph" w:customStyle="1" w:styleId="2ColumnHeading">
    <w:name w:val="2Column Heading"/>
    <w:basedOn w:val="BodyText"/>
    <w:qFormat/>
    <w:rsid w:val="00C25EF2"/>
    <w:pPr>
      <w:spacing w:after="60"/>
      <w:ind w:left="-2268"/>
    </w:pPr>
    <w:rPr>
      <w:b/>
    </w:rPr>
  </w:style>
  <w:style w:type="paragraph" w:customStyle="1" w:styleId="Heading1TOC">
    <w:name w:val="Heading1 TOC"/>
    <w:basedOn w:val="Normal"/>
    <w:qFormat/>
    <w:rsid w:val="00C25EF2"/>
    <w:pPr>
      <w:spacing w:before="240" w:after="120"/>
    </w:pPr>
    <w:rPr>
      <w:rFonts w:ascii="Times New Roman" w:hAnsi="Times New Roman"/>
      <w:b/>
      <w:sz w:val="32"/>
    </w:rPr>
  </w:style>
  <w:style w:type="paragraph" w:customStyle="1" w:styleId="Heading2TOC">
    <w:name w:val="Heading2 TOC"/>
    <w:basedOn w:val="Normal"/>
    <w:qFormat/>
    <w:rsid w:val="00C25EF2"/>
    <w:pPr>
      <w:spacing w:before="240" w:after="60"/>
    </w:pPr>
    <w:rPr>
      <w:rFonts w:ascii="Times New Roman" w:hAnsi="Times New Roman"/>
      <w:b/>
      <w:sz w:val="28"/>
    </w:rPr>
  </w:style>
  <w:style w:type="character" w:customStyle="1" w:styleId="Underline">
    <w:name w:val="Underline"/>
    <w:basedOn w:val="DefaultParagraphFont"/>
    <w:qFormat/>
    <w:rsid w:val="00C25EF2"/>
    <w:rPr>
      <w:u w:val="single"/>
    </w:rPr>
  </w:style>
  <w:style w:type="character" w:customStyle="1" w:styleId="BoldandItalics">
    <w:name w:val="Bold and Italics"/>
    <w:qFormat/>
    <w:rsid w:val="00C25EF2"/>
    <w:rPr>
      <w:b/>
      <w:i/>
      <w:u w:val="none"/>
    </w:rPr>
  </w:style>
  <w:style w:type="paragraph" w:styleId="BalloonText">
    <w:name w:val="Balloon Text"/>
    <w:basedOn w:val="Normal"/>
    <w:link w:val="BalloonTextChar"/>
    <w:rsid w:val="00C25EF2"/>
    <w:rPr>
      <w:rFonts w:ascii="Tahoma" w:hAnsi="Tahoma" w:cs="Tahoma"/>
      <w:sz w:val="16"/>
      <w:szCs w:val="16"/>
    </w:rPr>
  </w:style>
  <w:style w:type="character" w:customStyle="1" w:styleId="BalloonTextChar">
    <w:name w:val="Balloon Text Char"/>
    <w:basedOn w:val="DefaultParagraphFont"/>
    <w:link w:val="BalloonText"/>
    <w:rsid w:val="00C25E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5E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5E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5EF2"/>
    <w:rPr>
      <w:b/>
      <w:color w:val="660033"/>
      <w:spacing w:val="0"/>
    </w:rPr>
  </w:style>
  <w:style w:type="paragraph" w:customStyle="1" w:styleId="Nameditemlist">
    <w:name w:val="Named item list"/>
    <w:basedOn w:val="BodyText"/>
    <w:qFormat/>
    <w:rsid w:val="00C25EF2"/>
    <w:pPr>
      <w:tabs>
        <w:tab w:val="left" w:pos="2835"/>
      </w:tabs>
      <w:ind w:left="2835" w:hanging="2835"/>
    </w:pPr>
  </w:style>
  <w:style w:type="paragraph" w:customStyle="1" w:styleId="BodyTextnopadding">
    <w:name w:val="Body Text no padding"/>
    <w:basedOn w:val="BodyText"/>
    <w:qFormat/>
    <w:rsid w:val="00C25EF2"/>
    <w:pPr>
      <w:spacing w:before="0" w:after="0"/>
    </w:pPr>
  </w:style>
  <w:style w:type="paragraph" w:customStyle="1" w:styleId="BodyTextBold">
    <w:name w:val="Body Text Bold"/>
    <w:basedOn w:val="BodyText"/>
    <w:qFormat/>
    <w:rsid w:val="00C25EF2"/>
    <w:rPr>
      <w:b/>
    </w:rPr>
  </w:style>
  <w:style w:type="character" w:styleId="Hyperlink">
    <w:name w:val="Hyperlink"/>
    <w:basedOn w:val="DefaultParagraphFont"/>
    <w:uiPriority w:val="99"/>
    <w:unhideWhenUsed/>
    <w:rsid w:val="007B7B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575</Words>
  <Characters>3725</Characters>
  <Application>Microsoft Office Word</Application>
  <DocSecurity>0</DocSecurity>
  <Lines>186</Lines>
  <Paragraphs>113</Paragraphs>
  <ScaleCrop>false</ScaleCrop>
  <Company>Author-it Software Corporation Ltd.</Company>
  <LinksUpToDate>false</LinksUpToDate>
  <CharactersWithSpaces>4187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MEM07015 Set computer controlled machines and processes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2023-02-03T07:11:00Z</dcterms:created>
  <dcterms:modified xsi:type="dcterms:W3CDTF">2023-02-03T07:11:00Z</dcterms:modified>
</cp:coreProperties>
</file>