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11C" w:rsidP="00E70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MEM07014 Perform electro-discharge machining (EDM) operations</w:t>
      </w:r>
      <w:r>
        <w:fldChar w:fldCharType="end"/>
      </w:r>
    </w:p>
    <w:p w:rsidR="00E7011C" w:rsidP="00E7011C">
      <w:pPr>
        <w:pStyle w:val="Version"/>
        <w:sectPr w:rsidSect="00EB7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7B5F" w:rsidP="00EB7B5F">
      <w:pPr>
        <w:pStyle w:val="SuperHeading"/>
      </w:pPr>
      <w:r w:rsidRPr="00EB7B5F">
        <w:t>MEM07014 Perform electro-discharge machining (EDM) operations</w:t>
      </w:r>
    </w:p>
    <w:p w:rsidR="00000000" w:rsidRPr="00EB7B5F" w:rsidP="00EB7B5F">
      <w:pPr>
        <w:pStyle w:val="Heading1"/>
      </w:pPr>
      <w:bookmarkStart w:id="1" w:name="O_1169616"/>
      <w:bookmarkEnd w:id="1"/>
      <w:r w:rsidRPr="00EB7B5F">
        <w:t>Modification History</w:t>
      </w:r>
    </w:p>
    <w:p w:rsidR="00000000" w:rsidRPr="00EB7B5F" w:rsidP="00E7011C">
      <w:pPr>
        <w:pStyle w:val="BodyText"/>
      </w:pPr>
      <w:r w:rsidRPr="00EB7B5F">
        <w:t xml:space="preserve">Release 2. Quantum of hours of workplace practice removed. Supersedes and is equivalent to MEM07014 Perform electro-discharge machining (EDM) operations (Release 1). </w:t>
      </w:r>
    </w:p>
    <w:p w:rsidR="00000000" w:rsidRPr="00EB7B5F" w:rsidP="00E7011C">
      <w:pPr>
        <w:pStyle w:val="BodyText"/>
      </w:pPr>
      <w:r w:rsidRPr="00EB7B5F">
        <w:t>Release 1. Supersedes and is equivalent to MEM07014B Perform electro-discharge (EDM) machining operations.</w:t>
      </w:r>
    </w:p>
    <w:p w:rsidR="00000000" w:rsidRPr="00EB7B5F" w:rsidP="00EB7B5F">
      <w:pPr>
        <w:pStyle w:val="Heading1"/>
      </w:pPr>
      <w:bookmarkStart w:id="2" w:name="O_1169615"/>
      <w:bookmarkEnd w:id="2"/>
      <w:r w:rsidRPr="00EB7B5F">
        <w:t>Application</w:t>
      </w:r>
    </w:p>
    <w:p w:rsidR="00000000" w:rsidRPr="00EB7B5F" w:rsidP="00E7011C">
      <w:pPr>
        <w:pStyle w:val="BodyText"/>
      </w:pPr>
      <w:r w:rsidRPr="00EB7B5F">
        <w:t>This unit of competency defines the skills and knowledge required to perform electro-discharge machining (EDM) operati</w:t>
      </w:r>
      <w:r w:rsidRPr="00EB7B5F">
        <w:t xml:space="preserve">ons and applies to a range of EDM operations and engineering materials. </w:t>
      </w:r>
    </w:p>
    <w:p w:rsidR="00000000" w:rsidRPr="00EB7B5F" w:rsidP="00E7011C">
      <w:pPr>
        <w:pStyle w:val="BodyText"/>
      </w:pPr>
      <w:r w:rsidRPr="00EB7B5F">
        <w:t xml:space="preserve">This unit has been primarily developed for Engineering Tradesperson - Mechanical apprenticeship training and the recognition of trade-level skills in performing EDM operations. </w:t>
      </w:r>
    </w:p>
    <w:p w:rsidR="00000000" w:rsidRPr="00EB7B5F" w:rsidP="00E7011C">
      <w:pPr>
        <w:pStyle w:val="BodyText"/>
      </w:pPr>
      <w:r w:rsidRPr="00EB7B5F">
        <w:t>Whe</w:t>
      </w:r>
      <w:r w:rsidRPr="00EB7B5F">
        <w:t>re the selection and use of power tools/hand held operations is required unit MEM18002 Use power tools/hand held operations should also be selected.</w:t>
      </w:r>
    </w:p>
    <w:p w:rsidR="00000000" w:rsidRPr="00EB7B5F" w:rsidP="00E7011C">
      <w:pPr>
        <w:pStyle w:val="BodyText"/>
      </w:pPr>
      <w:r w:rsidRPr="00EB7B5F">
        <w:t>Where electrodes are required to be manufactured see appropriate machining units.</w:t>
      </w:r>
    </w:p>
    <w:p w:rsidR="00000000" w:rsidRPr="00EB7B5F" w:rsidP="00E7011C">
      <w:pPr>
        <w:pStyle w:val="BodyText"/>
      </w:pPr>
      <w:r w:rsidRPr="00EB7B5F">
        <w:t>No licensing, legislati</w:t>
      </w:r>
      <w:r w:rsidRPr="00EB7B5F">
        <w:t>ve or certification requirements apply to this unit at the time of publication.</w:t>
      </w:r>
    </w:p>
    <w:p w:rsidR="00000000" w:rsidRPr="00EB7B5F" w:rsidP="00EB7B5F">
      <w:pPr>
        <w:pStyle w:val="BodyText"/>
      </w:pPr>
      <w:r w:rsidRPr="00EB7B5F">
        <w:rPr>
          <w:rStyle w:val="SpecialBold"/>
        </w:rPr>
        <w:t>Band:</w:t>
      </w:r>
      <w:r w:rsidRPr="00EB7B5F">
        <w:rPr>
          <w:rStyle w:val="SpecialBold"/>
        </w:rPr>
        <w:tab/>
        <w:t>A</w:t>
      </w:r>
    </w:p>
    <w:p w:rsidR="00000000" w:rsidRPr="00EB7B5F" w:rsidP="00EB7B5F">
      <w:pPr>
        <w:pStyle w:val="BodyText"/>
      </w:pPr>
      <w:r w:rsidRPr="00EB7B5F">
        <w:rPr>
          <w:rStyle w:val="SpecialBold"/>
        </w:rPr>
        <w:t>Unit Weight:</w:t>
      </w:r>
      <w:r w:rsidRPr="00EB7B5F">
        <w:rPr>
          <w:rStyle w:val="SpecialBold"/>
        </w:rPr>
        <w:tab/>
        <w:t>4</w:t>
      </w:r>
    </w:p>
    <w:p w:rsidR="00000000" w:rsidRPr="00EB7B5F" w:rsidP="00EB7B5F">
      <w:pPr>
        <w:pStyle w:val="AllowPageBreak"/>
      </w:pPr>
    </w:p>
    <w:p w:rsidR="00000000" w:rsidRPr="00EB7B5F" w:rsidP="00EB7B5F">
      <w:pPr>
        <w:pStyle w:val="Heading1"/>
      </w:pPr>
      <w:bookmarkStart w:id="3" w:name="O_1169614"/>
      <w:bookmarkEnd w:id="3"/>
      <w:r w:rsidRPr="00EB7B5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Perform general machining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Interpret technical drawing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Undertake manual handling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Perform engineering measurements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Perform computations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Work safely and effectively in manufacturing and engineering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Plan work activities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Organise and communicate information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BodyText"/>
            </w:pPr>
            <w:r w:rsidRPr="00EB7B5F">
              <w:t>Use hand tools</w:t>
            </w:r>
          </w:p>
        </w:tc>
      </w:tr>
    </w:tbl>
    <w:p w:rsidR="00000000" w:rsidRPr="00EB7B5F" w:rsidP="00EB7B5F">
      <w:pPr>
        <w:pStyle w:val="BodyText"/>
      </w:pPr>
    </w:p>
    <w:p w:rsidR="00000000" w:rsidRPr="00EB7B5F" w:rsidP="00EB7B5F">
      <w:pPr>
        <w:pStyle w:val="AllowPageBreak"/>
      </w:pPr>
    </w:p>
    <w:p w:rsidR="00000000" w:rsidRPr="00EB7B5F" w:rsidP="00EB7B5F">
      <w:pPr>
        <w:pStyle w:val="Heading1"/>
      </w:pPr>
      <w:bookmarkStart w:id="4" w:name="O_1169613"/>
      <w:bookmarkEnd w:id="4"/>
      <w:r w:rsidRPr="00EB7B5F">
        <w:t>Competency Field</w:t>
      </w:r>
    </w:p>
    <w:p w:rsidR="00000000" w:rsidRPr="00EB7B5F" w:rsidP="00E7011C">
      <w:pPr>
        <w:pStyle w:val="BodyText"/>
      </w:pPr>
      <w:r w:rsidRPr="00EB7B5F">
        <w:t>Machine and process operations</w:t>
      </w:r>
    </w:p>
    <w:p w:rsidR="00000000" w:rsidRPr="00EB7B5F" w:rsidP="00EB7B5F">
      <w:pPr>
        <w:pStyle w:val="Heading1"/>
      </w:pPr>
      <w:bookmarkStart w:id="5" w:name="O_1169612"/>
      <w:bookmarkEnd w:id="5"/>
      <w:r w:rsidRPr="00EB7B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Performance criteria describe the performance needed to demonstrate achievement of the element</w:t>
            </w:r>
            <w:r w:rsidRPr="00EB7B5F">
              <w:t>.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BodyText"/>
            </w:pPr>
            <w:r w:rsidRPr="00EB7B5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Follow standard operating procedures (SOPs)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Comply with work health and safety (WHS) requirements at all times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Use appropriate personal protective equipment (PPE) in accordance with SOPs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Identify job requirements from specifications, drawings, job sheets or work instructions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BodyText"/>
            </w:pPr>
            <w:r w:rsidRPr="00EB7B5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Determine sequence of operations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Select correct electrode to ensure finished component conforms to drawing specifications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Calculate electrode surface area and set process parameters to give safe, accurate and efficient operation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Set up job relative to electrode to ensure required position is obtained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BodyText"/>
            </w:pPr>
            <w:r w:rsidRPr="00EB7B5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rPr>
                <w:rStyle w:val="SpecialBold"/>
              </w:rPr>
              <w:t>Perform EDM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 xml:space="preserve">Operate electro-discharge machine to produce </w:t>
            </w:r>
            <w:r w:rsidRPr="00EB7B5F">
              <w:t>components to drawing specifications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Check components for compliance with specifications</w:t>
            </w:r>
          </w:p>
        </w:tc>
      </w:tr>
      <w:tr w:rsidTr="00EB7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BodyText"/>
            </w:pPr>
            <w:r w:rsidRPr="00EB7B5F">
              <w:t>Rectify non-compliant product in accordance with SOPs</w:t>
            </w:r>
          </w:p>
        </w:tc>
      </w:tr>
    </w:tbl>
    <w:p w:rsidR="00E7011C" w:rsidP="00EB7B5F">
      <w:pPr>
        <w:pStyle w:val="BodyText"/>
      </w:pPr>
    </w:p>
    <w:p w:rsidR="00E7011C" w:rsidP="00EB7B5F">
      <w:pPr>
        <w:pStyle w:val="BodyText"/>
      </w:pPr>
    </w:p>
    <w:p w:rsidR="00000000" w:rsidRPr="00EB7B5F" w:rsidP="00EB7B5F">
      <w:pPr>
        <w:pStyle w:val="Heading1"/>
      </w:pPr>
      <w:bookmarkStart w:id="6" w:name="O_1169611"/>
      <w:bookmarkEnd w:id="6"/>
      <w:r w:rsidRPr="00EB7B5F">
        <w:t>Foundation Skills</w:t>
      </w:r>
    </w:p>
    <w:p w:rsidR="00000000" w:rsidRPr="00EB7B5F" w:rsidP="00E7011C">
      <w:pPr>
        <w:pStyle w:val="BodyText"/>
      </w:pPr>
      <w:r w:rsidRPr="00EB7B5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B7B5F" w:rsidP="00E7011C">
      <w:pPr>
        <w:pStyle w:val="BodyText"/>
      </w:pPr>
      <w:r w:rsidRPr="00EB7B5F">
        <w:t xml:space="preserve">Foundation skills essential to performance are explicit in the performance criteria </w:t>
      </w:r>
      <w:r w:rsidRPr="00EB7B5F">
        <w:t>of this unit of competency.</w:t>
      </w:r>
    </w:p>
    <w:p w:rsidR="00000000" w:rsidRPr="00EB7B5F" w:rsidP="00EB7B5F">
      <w:pPr>
        <w:pStyle w:val="Heading1"/>
      </w:pPr>
      <w:bookmarkStart w:id="7" w:name="O_1169610"/>
      <w:bookmarkEnd w:id="7"/>
      <w:r w:rsidRPr="00EB7B5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EB7B5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t>This field allows for different work environments and conditions that may affect performance. Essential operating conditions that may be present (depending on the work situation, accessibil</w:t>
            </w:r>
            <w:r w:rsidRPr="00EB7B5F">
              <w:t>ity of the item, and local industry and regional contexts) are included.</w:t>
            </w:r>
          </w:p>
        </w:tc>
      </w:tr>
      <w:tr w:rsidTr="00EB7B5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rPr>
                <w:rStyle w:val="SpecialBold"/>
              </w:rPr>
              <w:t>Electrodes include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ListBullet"/>
            </w:pPr>
            <w:r w:rsidRPr="00EB7B5F">
              <w:t>all types and grades of graphite electrodes</w:t>
            </w:r>
          </w:p>
          <w:p w:rsidR="00000000" w:rsidP="00EB7B5F">
            <w:pPr>
              <w:pStyle w:val="BodyText"/>
              <w:rPr>
                <w:lang w:val="en-NZ"/>
              </w:rPr>
            </w:pPr>
          </w:p>
        </w:tc>
      </w:tr>
      <w:tr w:rsidTr="00EB7B5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B5F">
            <w:pPr>
              <w:pStyle w:val="BodyText"/>
              <w:rPr>
                <w:lang w:val="en-NZ"/>
              </w:rPr>
            </w:pPr>
            <w:r w:rsidRPr="00EB7B5F">
              <w:rPr>
                <w:rStyle w:val="SpecialBold"/>
              </w:rPr>
              <w:t xml:space="preserve">Job set up includes the following: 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B5F" w:rsidP="00EB7B5F">
            <w:pPr>
              <w:pStyle w:val="ListBullet"/>
            </w:pPr>
            <w:r w:rsidRPr="00EB7B5F">
              <w:t xml:space="preserve">correct use of work holding devices and selection of EDM fluids, spark generation, cycle time, power settings and dielectric fluids for the requirement of a particular job </w:t>
            </w:r>
          </w:p>
          <w:p w:rsidR="00000000" w:rsidRPr="00EB7B5F" w:rsidP="00EB7B5F">
            <w:pPr>
              <w:pStyle w:val="BodyText"/>
            </w:pPr>
          </w:p>
        </w:tc>
      </w:tr>
    </w:tbl>
    <w:p w:rsidR="00000000" w:rsidRPr="00EB7B5F" w:rsidP="00EB7B5F">
      <w:pPr>
        <w:pStyle w:val="BodyText"/>
      </w:pPr>
    </w:p>
    <w:p w:rsidR="00000000" w:rsidRPr="00EB7B5F" w:rsidP="00EB7B5F">
      <w:pPr>
        <w:pStyle w:val="AllowPageBreak"/>
      </w:pPr>
    </w:p>
    <w:p w:rsidR="00000000" w:rsidRPr="00EB7B5F" w:rsidP="00EB7B5F">
      <w:pPr>
        <w:pStyle w:val="Heading1"/>
      </w:pPr>
      <w:bookmarkStart w:id="8" w:name="O_1169609"/>
      <w:bookmarkEnd w:id="8"/>
      <w:r w:rsidRPr="00EB7B5F">
        <w:t>Unit Mapping Information</w:t>
      </w:r>
    </w:p>
    <w:p w:rsidR="00000000" w:rsidRPr="00EB7B5F" w:rsidP="00E7011C">
      <w:pPr>
        <w:pStyle w:val="BodyText"/>
      </w:pPr>
      <w:r w:rsidRPr="00EB7B5F">
        <w:t xml:space="preserve">Release 2. Supersedes and is equivalent to MEM07014 Perform electro-discharge machining (EDM) operations (Release 1). </w:t>
      </w:r>
    </w:p>
    <w:p w:rsidR="00000000" w:rsidRPr="00EB7B5F" w:rsidP="00E7011C">
      <w:pPr>
        <w:pStyle w:val="BodyText"/>
      </w:pPr>
      <w:r w:rsidRPr="00EB7B5F">
        <w:t>Release 1. Supersedes and is equivalent to MEM07014B Perform electro-discharge (EDM) machining operations.</w:t>
      </w:r>
    </w:p>
    <w:p w:rsidR="00000000" w:rsidRPr="00EB7B5F" w:rsidP="00EB7B5F">
      <w:pPr>
        <w:pStyle w:val="Heading1"/>
      </w:pPr>
      <w:bookmarkStart w:id="9" w:name="O_1169617"/>
      <w:bookmarkEnd w:id="9"/>
      <w:r w:rsidRPr="00EB7B5F">
        <w:t>Links</w:t>
      </w:r>
    </w:p>
    <w:p w:rsidR="00000000" w:rsidRPr="00EB7B5F" w:rsidP="00E7011C">
      <w:pPr>
        <w:pStyle w:val="BodyText"/>
      </w:pPr>
      <w:r w:rsidRPr="00EB7B5F">
        <w:t>Compa</w:t>
      </w:r>
      <w:r w:rsidRPr="00EB7B5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B27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B7B5F" w:rsidP="00EB7B5F"/>
    <w:sectPr w:rsidSect="00EB7B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5F" w:rsidRPr="00E7011C" w:rsidP="00E70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1C" w:rsidP="00EB7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11C" w:rsidP="00EB7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011C" w:rsidP="00EB7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B5F" w:rsidRPr="00E7011C" w:rsidP="00E70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1C" w:rsidRPr="002D2AF8" w:rsidP="00EB7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MEM07014 Perform electro-discharge machining (EDM)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011C" w:rsidP="00EB7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F2A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185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B5F"/>
  </w:style>
  <w:style w:type="character" w:customStyle="1" w:styleId="Heading1Char">
    <w:name w:val="Heading 1 Char"/>
    <w:basedOn w:val="DefaultParagraphFont"/>
    <w:link w:val="Heading1"/>
    <w:rsid w:val="00EB7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B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B5F"/>
    <w:rPr>
      <w:b/>
      <w:spacing w:val="0"/>
    </w:rPr>
  </w:style>
  <w:style w:type="paragraph" w:customStyle="1" w:styleId="SuperHeading">
    <w:name w:val="SuperHeading"/>
    <w:basedOn w:val="Normal"/>
    <w:rsid w:val="00EB7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B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B5F"/>
    <w:rPr>
      <w:i/>
    </w:rPr>
  </w:style>
  <w:style w:type="paragraph" w:styleId="Caption">
    <w:name w:val="caption"/>
    <w:basedOn w:val="BodyText"/>
    <w:next w:val="Normal"/>
    <w:qFormat/>
    <w:rsid w:val="00EB7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B5F"/>
  </w:style>
  <w:style w:type="paragraph" w:styleId="TableofFigures">
    <w:name w:val="table of figures"/>
    <w:basedOn w:val="Normal"/>
    <w:next w:val="Normal"/>
    <w:semiHidden/>
    <w:rsid w:val="00EB7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B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B5F"/>
    <w:rPr>
      <w:rFonts w:ascii="Wingdings" w:hAnsi="Wingdings"/>
    </w:rPr>
  </w:style>
  <w:style w:type="paragraph" w:customStyle="1" w:styleId="TableHeading">
    <w:name w:val="Table Heading"/>
    <w:basedOn w:val="HeadingBase"/>
    <w:rsid w:val="00EB7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B5F"/>
    <w:rPr>
      <w:color w:val="0033CC"/>
      <w:u w:val="none"/>
    </w:rPr>
  </w:style>
  <w:style w:type="paragraph" w:customStyle="1" w:styleId="BodyTextRight">
    <w:name w:val="Body Text Right"/>
    <w:basedOn w:val="BodyText"/>
    <w:rsid w:val="00EB7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B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B5F"/>
    <w:rPr>
      <w:sz w:val="32"/>
    </w:rPr>
  </w:style>
  <w:style w:type="paragraph" w:customStyle="1" w:styleId="HeadingProcedure">
    <w:name w:val="Heading Procedure"/>
    <w:basedOn w:val="HeadingBase"/>
    <w:next w:val="Normal"/>
    <w:rsid w:val="00EB7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B5F"/>
    <w:pPr>
      <w:spacing w:before="60" w:after="60"/>
    </w:pPr>
  </w:style>
  <w:style w:type="paragraph" w:styleId="ListContinue">
    <w:name w:val="List Continue"/>
    <w:basedOn w:val="List"/>
    <w:rsid w:val="00EB7B5F"/>
    <w:pPr>
      <w:ind w:firstLine="0"/>
    </w:pPr>
  </w:style>
  <w:style w:type="paragraph" w:customStyle="1" w:styleId="ListNote">
    <w:name w:val="List Note"/>
    <w:basedOn w:val="List"/>
    <w:rsid w:val="00EB7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B5F"/>
    <w:rPr>
      <w:rFonts w:ascii="Courier New" w:hAnsi="Courier New"/>
    </w:rPr>
  </w:style>
  <w:style w:type="paragraph" w:customStyle="1" w:styleId="NoteBullet">
    <w:name w:val="Note Bullet"/>
    <w:basedOn w:val="Note"/>
    <w:rsid w:val="00EB7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B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B5F"/>
    <w:rPr>
      <w:b/>
      <w:smallCaps/>
    </w:rPr>
  </w:style>
  <w:style w:type="paragraph" w:customStyle="1" w:styleId="TableListNumber">
    <w:name w:val="Table List Number"/>
    <w:basedOn w:val="ListNumber"/>
    <w:rsid w:val="00EB7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B5F"/>
    <w:pPr>
      <w:numPr>
        <w:numId w:val="8"/>
      </w:numPr>
    </w:pPr>
  </w:style>
  <w:style w:type="paragraph" w:customStyle="1" w:styleId="ListAlpha2">
    <w:name w:val="List Alpha 2"/>
    <w:basedOn w:val="List2"/>
    <w:rsid w:val="00EB7B5F"/>
    <w:pPr>
      <w:numPr>
        <w:numId w:val="7"/>
      </w:numPr>
    </w:pPr>
  </w:style>
  <w:style w:type="paragraph" w:styleId="List2">
    <w:name w:val="List 2"/>
    <w:basedOn w:val="BodyText"/>
    <w:rsid w:val="00EB7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B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B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B5F"/>
    <w:pPr>
      <w:numPr>
        <w:numId w:val="3"/>
      </w:numPr>
    </w:pPr>
  </w:style>
  <w:style w:type="paragraph" w:styleId="ListContinue2">
    <w:name w:val="List Continue 2"/>
    <w:basedOn w:val="List2"/>
    <w:rsid w:val="00EB7B5F"/>
    <w:pPr>
      <w:ind w:firstLine="0"/>
    </w:pPr>
  </w:style>
  <w:style w:type="paragraph" w:styleId="ListContinue3">
    <w:name w:val="List Continue 3"/>
    <w:basedOn w:val="List3"/>
    <w:rsid w:val="00EB7B5F"/>
    <w:pPr>
      <w:ind w:left="1021" w:firstLine="0"/>
    </w:pPr>
  </w:style>
  <w:style w:type="paragraph" w:styleId="ListContinue4">
    <w:name w:val="List Continue 4"/>
    <w:basedOn w:val="List4"/>
    <w:rsid w:val="00EB7B5F"/>
    <w:pPr>
      <w:ind w:firstLine="0"/>
    </w:pPr>
  </w:style>
  <w:style w:type="paragraph" w:styleId="ListContinue5">
    <w:name w:val="List Continue 5"/>
    <w:basedOn w:val="List5"/>
    <w:rsid w:val="00EB7B5F"/>
    <w:pPr>
      <w:ind w:firstLine="0"/>
    </w:pPr>
  </w:style>
  <w:style w:type="paragraph" w:styleId="ListNumber3">
    <w:name w:val="List Number 3"/>
    <w:basedOn w:val="List3"/>
    <w:rsid w:val="00EB7B5F"/>
    <w:pPr>
      <w:numPr>
        <w:numId w:val="4"/>
      </w:numPr>
    </w:pPr>
  </w:style>
  <w:style w:type="paragraph" w:styleId="ListNumber4">
    <w:name w:val="List Number 4"/>
    <w:basedOn w:val="List4"/>
    <w:rsid w:val="00EB7B5F"/>
    <w:pPr>
      <w:numPr>
        <w:numId w:val="5"/>
      </w:numPr>
    </w:pPr>
  </w:style>
  <w:style w:type="paragraph" w:styleId="ListNumber5">
    <w:name w:val="List Number 5"/>
    <w:basedOn w:val="List5"/>
    <w:rsid w:val="00EB7B5F"/>
    <w:pPr>
      <w:numPr>
        <w:numId w:val="6"/>
      </w:numPr>
    </w:pPr>
  </w:style>
  <w:style w:type="paragraph" w:styleId="BlockText">
    <w:name w:val="Block Text"/>
    <w:basedOn w:val="Normal"/>
    <w:rsid w:val="00EB7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B5F"/>
    <w:rPr>
      <w:sz w:val="16"/>
      <w:vertAlign w:val="superscript"/>
    </w:rPr>
  </w:style>
  <w:style w:type="character" w:customStyle="1" w:styleId="Symbols">
    <w:name w:val="Symbols"/>
    <w:basedOn w:val="DefaultParagraphFont"/>
    <w:rsid w:val="00EB7B5F"/>
    <w:rPr>
      <w:rFonts w:ascii="Symbol" w:hAnsi="Symbol"/>
    </w:rPr>
  </w:style>
  <w:style w:type="character" w:customStyle="1" w:styleId="MenuOptions">
    <w:name w:val="Menu Options"/>
    <w:basedOn w:val="DefaultParagraphFont"/>
    <w:rsid w:val="00EB7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B5F"/>
    <w:rPr>
      <w:b/>
    </w:rPr>
  </w:style>
  <w:style w:type="character" w:customStyle="1" w:styleId="Underlined">
    <w:name w:val="Underlined"/>
    <w:basedOn w:val="DefaultParagraphFont"/>
    <w:rsid w:val="00EB7B5F"/>
    <w:rPr>
      <w:u w:val="single"/>
    </w:rPr>
  </w:style>
  <w:style w:type="paragraph" w:customStyle="1" w:styleId="TableBodyTextRight">
    <w:name w:val="Table Body Text Right"/>
    <w:basedOn w:val="TableBodyText"/>
    <w:rsid w:val="00EB7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B5F"/>
    <w:rPr>
      <w:sz w:val="18"/>
    </w:rPr>
  </w:style>
  <w:style w:type="paragraph" w:customStyle="1" w:styleId="BodySmallRight">
    <w:name w:val="Body Small Right"/>
    <w:basedOn w:val="BodyTextRight"/>
    <w:rsid w:val="00EB7B5F"/>
    <w:rPr>
      <w:sz w:val="18"/>
      <w:szCs w:val="18"/>
    </w:rPr>
  </w:style>
  <w:style w:type="paragraph" w:customStyle="1" w:styleId="MarginEdition">
    <w:name w:val="Margin Edition"/>
    <w:basedOn w:val="MarginNote"/>
    <w:rsid w:val="00EB7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B5F"/>
    <w:rPr>
      <w:sz w:val="2"/>
      <w:szCs w:val="2"/>
    </w:rPr>
  </w:style>
  <w:style w:type="character" w:customStyle="1" w:styleId="Small">
    <w:name w:val="Small"/>
    <w:basedOn w:val="DefaultParagraphFont"/>
    <w:rsid w:val="00EB7B5F"/>
    <w:rPr>
      <w:sz w:val="16"/>
    </w:rPr>
  </w:style>
  <w:style w:type="paragraph" w:customStyle="1" w:styleId="WideTable">
    <w:name w:val="Wide Table"/>
    <w:basedOn w:val="Normal"/>
    <w:rsid w:val="00EB7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B5F"/>
  </w:style>
  <w:style w:type="paragraph" w:styleId="Quote">
    <w:name w:val="Quote"/>
    <w:basedOn w:val="Heading1"/>
    <w:link w:val="QuoteChar"/>
    <w:qFormat/>
    <w:rsid w:val="00EB7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B5F"/>
    <w:pPr>
      <w:pageBreakBefore/>
    </w:pPr>
  </w:style>
  <w:style w:type="paragraph" w:customStyle="1" w:styleId="Border">
    <w:name w:val="Border"/>
    <w:basedOn w:val="Normal"/>
    <w:qFormat/>
    <w:rsid w:val="00EB7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B5F"/>
    <w:rPr>
      <w:u w:val="single"/>
    </w:rPr>
  </w:style>
  <w:style w:type="character" w:customStyle="1" w:styleId="BoldandItalics">
    <w:name w:val="Bold and Italics"/>
    <w:qFormat/>
    <w:rsid w:val="00EB7B5F"/>
    <w:rPr>
      <w:b/>
      <w:i/>
      <w:u w:val="none"/>
    </w:rPr>
  </w:style>
  <w:style w:type="paragraph" w:styleId="BalloonText">
    <w:name w:val="Balloon Text"/>
    <w:basedOn w:val="Normal"/>
    <w:link w:val="BalloonTextChar"/>
    <w:rsid w:val="00EB7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B5F"/>
    <w:pPr>
      <w:spacing w:before="0" w:after="0"/>
    </w:pPr>
  </w:style>
  <w:style w:type="paragraph" w:customStyle="1" w:styleId="BodyTextBold">
    <w:name w:val="Body Text Bold"/>
    <w:basedOn w:val="BodyText"/>
    <w:qFormat/>
    <w:rsid w:val="00EB7B5F"/>
    <w:rPr>
      <w:b/>
    </w:rPr>
  </w:style>
  <w:style w:type="character" w:styleId="Hyperlink">
    <w:name w:val="Hyperlink"/>
    <w:basedOn w:val="DefaultParagraphFont"/>
    <w:uiPriority w:val="99"/>
    <w:unhideWhenUsed/>
    <w:rsid w:val="00E70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3590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MEM07014 Perform electro-discharge machining (EDM)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