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D99" w:rsidP="00302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MEM06005 Perform drop and upset forging</w:t>
      </w:r>
      <w:r>
        <w:fldChar w:fldCharType="end"/>
      </w:r>
    </w:p>
    <w:p w:rsidR="00302D99" w:rsidP="00302D99">
      <w:pPr>
        <w:pStyle w:val="Version"/>
        <w:sectPr w:rsidSect="00A77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3FD" w:rsidP="00A773FD">
      <w:pPr>
        <w:pStyle w:val="SuperHeading"/>
      </w:pPr>
      <w:r w:rsidRPr="00A773FD">
        <w:t>MEM06005 Perform drop and upset forging</w:t>
      </w:r>
    </w:p>
    <w:p w:rsidR="00000000" w:rsidRPr="00A773FD" w:rsidP="00A773FD">
      <w:pPr>
        <w:pStyle w:val="Heading1"/>
      </w:pPr>
      <w:bookmarkStart w:id="1" w:name="O_948862"/>
      <w:bookmarkEnd w:id="1"/>
      <w:r w:rsidRPr="00A773FD">
        <w:t>Modification History</w:t>
      </w:r>
    </w:p>
    <w:p w:rsidR="00000000" w:rsidRPr="00A773FD" w:rsidP="00302D99">
      <w:pPr>
        <w:pStyle w:val="BodyText"/>
      </w:pPr>
      <w:r w:rsidRPr="00A773FD">
        <w:t xml:space="preserve">Release 1. Supersedes and is equivalent to MEM06005B Perform drop and upset forging </w:t>
      </w:r>
    </w:p>
    <w:p w:rsidR="00000000" w:rsidRPr="00A773FD" w:rsidP="00A773FD">
      <w:pPr>
        <w:pStyle w:val="Heading1"/>
      </w:pPr>
      <w:bookmarkStart w:id="2" w:name="O_948870"/>
      <w:bookmarkEnd w:id="2"/>
      <w:r w:rsidRPr="00A773FD">
        <w:t>Application</w:t>
      </w:r>
    </w:p>
    <w:p w:rsidR="00000000" w:rsidRPr="00A773FD" w:rsidP="00302D99">
      <w:pPr>
        <w:pStyle w:val="BodyText"/>
      </w:pPr>
      <w:r w:rsidRPr="00A773FD">
        <w:t>This unit of competency defines the skills and knowledge required to select, set up and operate drop and upset forging eq</w:t>
      </w:r>
      <w:r w:rsidRPr="00A773FD">
        <w:t>uipment where material is forged to specified dimensional accuracy and finish.</w:t>
      </w:r>
    </w:p>
    <w:p w:rsidR="00000000" w:rsidRPr="00A773FD" w:rsidP="00302D99">
      <w:pPr>
        <w:pStyle w:val="BodyText"/>
      </w:pPr>
      <w:r w:rsidRPr="00A773FD">
        <w:t>Where routine, repetitive cold upset forging is required unit MEM07024 Operate and monitor machine and process should be selected.</w:t>
      </w:r>
    </w:p>
    <w:p w:rsidR="00000000" w:rsidRPr="00A773FD" w:rsidP="00302D99">
      <w:pPr>
        <w:pStyle w:val="BodyText"/>
      </w:pPr>
      <w:r w:rsidRPr="00A773FD">
        <w:t>Where the interpretation of technical drawin</w:t>
      </w:r>
      <w:r w:rsidRPr="00A773FD">
        <w:t>gs is required unit MEM09002 Interpret technical drawing should also be selected.</w:t>
      </w:r>
    </w:p>
    <w:p w:rsidR="00000000" w:rsidRPr="00A773FD" w:rsidP="00302D99">
      <w:pPr>
        <w:pStyle w:val="BodyText"/>
      </w:pPr>
      <w:r w:rsidRPr="00A773FD">
        <w:t>Where the selection and use of engineering measurement is required unit MEM12023 Perform engineering measurements should also be selected.</w:t>
      </w:r>
    </w:p>
    <w:p w:rsidR="00000000" w:rsidRPr="00A773FD" w:rsidP="00302D99">
      <w:pPr>
        <w:pStyle w:val="BodyText"/>
      </w:pPr>
      <w:r w:rsidRPr="00A773FD">
        <w:t>Where the selection and use of to</w:t>
      </w:r>
      <w:r w:rsidRPr="00A773FD">
        <w:t>ols is required unit MEM18001 Use hand tools and unit MEM18002 Use power tools/hand held operations, should also be selected as appropriate.</w:t>
      </w:r>
    </w:p>
    <w:p w:rsidR="00000000" w:rsidRPr="00A773FD" w:rsidP="00302D99">
      <w:pPr>
        <w:pStyle w:val="BodyText"/>
      </w:pPr>
      <w:r w:rsidRPr="00A773FD">
        <w:t>No licensing, legislative or certification requirements apply to this unit at the time of publication.</w:t>
      </w:r>
    </w:p>
    <w:p w:rsidR="00000000" w:rsidRPr="00A773FD" w:rsidP="00A773FD">
      <w:pPr>
        <w:pStyle w:val="BodyText"/>
      </w:pPr>
      <w:r w:rsidRPr="00A773FD">
        <w:rPr>
          <w:rStyle w:val="SpecialBold"/>
        </w:rPr>
        <w:t>Band:</w:t>
      </w:r>
      <w:r w:rsidRPr="00A773FD">
        <w:rPr>
          <w:rStyle w:val="SpecialBold"/>
        </w:rPr>
        <w:tab/>
        <w:t>A</w:t>
      </w:r>
    </w:p>
    <w:p w:rsidR="00000000" w:rsidRPr="00A773FD" w:rsidP="00A773FD">
      <w:pPr>
        <w:pStyle w:val="BodyText"/>
      </w:pPr>
      <w:r w:rsidRPr="00A773FD">
        <w:rPr>
          <w:rStyle w:val="SpecialBold"/>
        </w:rPr>
        <w:t>Un</w:t>
      </w:r>
      <w:r w:rsidRPr="00A773FD">
        <w:rPr>
          <w:rStyle w:val="SpecialBold"/>
        </w:rPr>
        <w:t>it Weight:</w:t>
      </w:r>
      <w:r w:rsidRPr="00A773FD">
        <w:rPr>
          <w:rStyle w:val="SpecialBold"/>
        </w:rPr>
        <w:tab/>
        <w:t>4</w:t>
      </w:r>
    </w:p>
    <w:p w:rsidR="00000000" w:rsidRPr="00A773FD" w:rsidP="00A773FD">
      <w:pPr>
        <w:pStyle w:val="AllowPageBreak"/>
      </w:pPr>
    </w:p>
    <w:p w:rsidR="00000000" w:rsidRPr="00A773FD" w:rsidP="00A773FD">
      <w:pPr>
        <w:pStyle w:val="Heading1"/>
      </w:pPr>
      <w:bookmarkStart w:id="3" w:name="O_948869"/>
      <w:bookmarkEnd w:id="3"/>
      <w:r w:rsidRPr="00A773F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MEM06002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Perform hammer forging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Undertake manual handling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Work safely and effectively in manufacturing and engineering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Organise and communicate information</w:t>
            </w:r>
          </w:p>
        </w:tc>
      </w:tr>
    </w:tbl>
    <w:p w:rsidR="00000000" w:rsidRPr="00A773FD" w:rsidP="00A773FD">
      <w:pPr>
        <w:pStyle w:val="BodyText"/>
      </w:pPr>
    </w:p>
    <w:p w:rsidR="00000000" w:rsidRPr="00A773FD" w:rsidP="00A773FD">
      <w:pPr>
        <w:pStyle w:val="AllowPageBreak"/>
      </w:pPr>
    </w:p>
    <w:p w:rsidR="00000000" w:rsidRPr="00A773FD" w:rsidP="00A773FD">
      <w:pPr>
        <w:pStyle w:val="Heading1"/>
      </w:pPr>
      <w:bookmarkStart w:id="4" w:name="O_948868"/>
      <w:bookmarkEnd w:id="4"/>
      <w:r w:rsidRPr="00A773FD">
        <w:t>Competency Field</w:t>
      </w:r>
    </w:p>
    <w:p w:rsidR="00000000" w:rsidRPr="00A773FD" w:rsidP="00302D99">
      <w:pPr>
        <w:pStyle w:val="BodyText"/>
      </w:pPr>
      <w:r w:rsidRPr="00A773FD">
        <w:t>Forging</w:t>
      </w:r>
    </w:p>
    <w:p w:rsidR="00000000" w:rsidRPr="00A773FD" w:rsidP="00A773FD">
      <w:pPr>
        <w:pStyle w:val="Heading1"/>
      </w:pPr>
      <w:bookmarkStart w:id="5" w:name="O_948866"/>
      <w:bookmarkEnd w:id="5"/>
      <w:r w:rsidRPr="00A773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Performance criteria describe the performance needed to demonstrate achievement of the element.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Follow standard operating procedures (SOPs)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Comply with work health and safety (WHS) requirements at all times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Use appropriate personal protective equipment (PPE) in accordance with SOPs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Identify job requirements from specifications, sketches, job sheets or work instructions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Identify and select drop and upset forging equipment and tools for specific operation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Select appropriate equipment suitable for the size of material and forging procedures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Select dies and punches for specific operations and equipment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Determine die replacement with regard to relief allowances, cracking and dimensions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Set up and operate drop and upset forging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Set up equipment, adjust and operate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Apply correct die setting techniques in setting appropriate die and punch alignment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Apply correct die preheating procedures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Prepare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Prepare materials and heat in accordance with job requirements and/or specifications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Drop and upset forge material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Calculate material amounts with allowance for heat wastage and flash or fin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Drop forge material using the correct procedures and techniques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Apply correct lubricant for die wear and forging release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Determine correct grain flow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Identify and correct galls, folds and cracks</w:t>
            </w:r>
          </w:p>
        </w:tc>
      </w:tr>
      <w:tr w:rsidTr="00A7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BodyText"/>
            </w:pPr>
            <w:r w:rsidRPr="00A773FD">
              <w:t>Carry out removal of flash or fin in accordance with SOPs</w:t>
            </w:r>
          </w:p>
        </w:tc>
      </w:tr>
    </w:tbl>
    <w:p w:rsidR="00000000" w:rsidRPr="00A773FD" w:rsidP="00A773FD">
      <w:pPr>
        <w:pStyle w:val="BodyText"/>
      </w:pPr>
    </w:p>
    <w:p w:rsidR="00000000" w:rsidRPr="00A773FD" w:rsidP="00A773FD">
      <w:pPr>
        <w:pStyle w:val="AllowPageBreak"/>
      </w:pPr>
    </w:p>
    <w:p w:rsidR="00000000" w:rsidRPr="00A773FD" w:rsidP="00A773FD">
      <w:pPr>
        <w:pStyle w:val="Heading1"/>
      </w:pPr>
      <w:bookmarkStart w:id="6" w:name="O_948865"/>
      <w:bookmarkEnd w:id="6"/>
      <w:r w:rsidRPr="00A773FD">
        <w:t>Foundation Skills</w:t>
      </w:r>
    </w:p>
    <w:p w:rsidR="00000000" w:rsidRPr="00A773FD" w:rsidP="00302D99">
      <w:pPr>
        <w:pStyle w:val="BodyText"/>
      </w:pPr>
      <w:r w:rsidRPr="00A773FD">
        <w:t>This section describes those required skills (reading, writing, oral communication and numeracy) that are essential to workplace performance in this unit of comp</w:t>
      </w:r>
      <w:r w:rsidRPr="00A773FD">
        <w:t xml:space="preserve">etency.  </w:t>
      </w:r>
    </w:p>
    <w:p w:rsidR="00000000" w:rsidRPr="00A773FD" w:rsidP="00302D99">
      <w:pPr>
        <w:pStyle w:val="BodyText"/>
      </w:pPr>
      <w:r w:rsidRPr="00A773FD">
        <w:t>Foundation skills essential to performance are explicit in the performance criteria of this unit of competency.</w:t>
      </w:r>
    </w:p>
    <w:p w:rsidR="00000000" w:rsidRPr="00A773FD" w:rsidP="00A773FD">
      <w:pPr>
        <w:pStyle w:val="Heading1"/>
      </w:pPr>
      <w:bookmarkStart w:id="7" w:name="O_948864"/>
      <w:bookmarkEnd w:id="7"/>
      <w:r w:rsidRPr="00A773F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A773F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t>This field allows for different work environments and conditions that may affect performance. Es</w:t>
            </w:r>
            <w:r w:rsidRPr="00A773FD">
              <w:t>sential operating conditions that may be present (depending on the work situation, accessibility of the item, and local industry and regional contexts) are included.</w:t>
            </w:r>
          </w:p>
        </w:tc>
      </w:tr>
      <w:tr w:rsidTr="00A773F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ListBullet"/>
            </w:pPr>
            <w:r w:rsidRPr="00A773FD">
              <w:t>drop forging hammer/press</w:t>
            </w:r>
          </w:p>
          <w:p w:rsidR="00000000" w:rsidRPr="00A773FD" w:rsidP="00A773FD">
            <w:pPr>
              <w:pStyle w:val="ListBullet"/>
            </w:pPr>
            <w:r w:rsidRPr="00A773FD">
              <w:t>open die forging hammer using closed loose die or horizontal upsetting machine (heading machine)</w:t>
            </w:r>
          </w:p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ListBullet"/>
            </w:pPr>
            <w:r w:rsidRPr="00A773FD">
              <w:t xml:space="preserve">ferrous materials (steel) </w:t>
            </w:r>
          </w:p>
          <w:p w:rsidR="00000000" w:rsidRPr="00A773FD" w:rsidP="00A773FD">
            <w:pPr>
              <w:pStyle w:val="ListBullet"/>
            </w:pPr>
            <w:r w:rsidRPr="00A773FD">
              <w:t>non-ferrous material (copper and aluminium bronze)</w:t>
            </w:r>
          </w:p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Lubricants include one (</w:t>
            </w:r>
            <w:r w:rsidRPr="00A773FD">
              <w:rPr>
                <w:rStyle w:val="SpecialBold"/>
              </w:rPr>
              <w:t>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ListBullet"/>
            </w:pPr>
            <w:r w:rsidRPr="00A773FD">
              <w:t xml:space="preserve">graphite bearing oils/greases </w:t>
            </w:r>
          </w:p>
          <w:p w:rsidR="00000000" w:rsidRPr="00A773FD" w:rsidP="00A773FD">
            <w:pPr>
              <w:pStyle w:val="ListBullet"/>
            </w:pPr>
            <w:r w:rsidRPr="00A773FD">
              <w:t>cellulose granules</w:t>
            </w:r>
          </w:p>
          <w:p w:rsidR="00000000" w:rsidRPr="00A773FD" w:rsidP="00A773FD">
            <w:pPr>
              <w:pStyle w:val="ListBullet"/>
            </w:pPr>
            <w:r w:rsidRPr="00A773FD">
              <w:t>waxes</w:t>
            </w:r>
          </w:p>
          <w:p w:rsidR="00000000" w:rsidP="00A773FD">
            <w:pPr>
              <w:pStyle w:val="BodyText"/>
              <w:rPr>
                <w:lang w:val="en-NZ"/>
              </w:rPr>
            </w:pPr>
          </w:p>
        </w:tc>
      </w:tr>
      <w:tr w:rsidTr="00A773F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3FD">
            <w:pPr>
              <w:pStyle w:val="BodyText"/>
              <w:rPr>
                <w:lang w:val="en-NZ"/>
              </w:rPr>
            </w:pPr>
            <w:r w:rsidRPr="00A773FD">
              <w:rPr>
                <w:rStyle w:val="SpecialBold"/>
              </w:rPr>
              <w:t>Correct removal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3FD" w:rsidP="00A773FD">
            <w:pPr>
              <w:pStyle w:val="ListBullet"/>
            </w:pPr>
            <w:r w:rsidRPr="00A773FD">
              <w:t>ejector pins</w:t>
            </w:r>
          </w:p>
          <w:p w:rsidR="00000000" w:rsidRPr="00A773FD" w:rsidP="00A773FD">
            <w:pPr>
              <w:pStyle w:val="ListBullet"/>
            </w:pPr>
            <w:r w:rsidRPr="00A773FD">
              <w:t>drafts in die (angle)</w:t>
            </w:r>
          </w:p>
        </w:tc>
      </w:tr>
    </w:tbl>
    <w:p w:rsidR="00000000" w:rsidRPr="00A773FD" w:rsidP="00A773FD">
      <w:pPr>
        <w:pStyle w:val="BodyText"/>
      </w:pPr>
    </w:p>
    <w:p w:rsidR="00000000" w:rsidRPr="00A773FD" w:rsidP="00A773FD">
      <w:pPr>
        <w:pStyle w:val="AllowPageBreak"/>
      </w:pPr>
    </w:p>
    <w:p w:rsidR="00000000" w:rsidRPr="00A773FD" w:rsidP="00A773FD">
      <w:pPr>
        <w:pStyle w:val="Heading1"/>
      </w:pPr>
      <w:bookmarkStart w:id="8" w:name="O_948863"/>
      <w:bookmarkEnd w:id="8"/>
      <w:r w:rsidRPr="00A773FD">
        <w:t>Unit Mapping Information</w:t>
      </w:r>
    </w:p>
    <w:p w:rsidR="00000000" w:rsidRPr="00A773FD" w:rsidP="00302D99">
      <w:pPr>
        <w:pStyle w:val="BodyText"/>
      </w:pPr>
      <w:r w:rsidRPr="00A773FD">
        <w:t xml:space="preserve">Release 1. Supersedes and is equivalent to MEM06005B Perform drop and upset forging </w:t>
      </w:r>
    </w:p>
    <w:p w:rsidR="00000000" w:rsidRPr="00A773FD" w:rsidP="00A773FD">
      <w:pPr>
        <w:pStyle w:val="Heading1"/>
      </w:pPr>
      <w:bookmarkStart w:id="9" w:name="O_948856"/>
      <w:bookmarkEnd w:id="9"/>
      <w:r w:rsidRPr="00A773FD">
        <w:t>Links</w:t>
      </w:r>
    </w:p>
    <w:p w:rsidR="00000000" w:rsidRPr="00A773FD" w:rsidP="00302D99">
      <w:pPr>
        <w:pStyle w:val="BodyText"/>
      </w:pPr>
      <w:r w:rsidRPr="00A77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2EF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73FD" w:rsidP="00A773FD"/>
    <w:sectPr w:rsidSect="00A773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FD" w:rsidRPr="00302D99" w:rsidP="00302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9" w:rsidP="00A77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D99" w:rsidP="00A77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02D99" w:rsidP="00A77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3FD" w:rsidRPr="00302D99" w:rsidP="00302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D99" w:rsidRPr="002D2AF8" w:rsidP="00A77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MEM06005 Perform drop and upset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02D99" w:rsidP="00A77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340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2C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3FD"/>
  </w:style>
  <w:style w:type="character" w:customStyle="1" w:styleId="Heading1Char">
    <w:name w:val="Heading 1 Char"/>
    <w:basedOn w:val="DefaultParagraphFont"/>
    <w:link w:val="Heading1"/>
    <w:rsid w:val="00A77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3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3FD"/>
    <w:rPr>
      <w:b/>
      <w:spacing w:val="0"/>
    </w:rPr>
  </w:style>
  <w:style w:type="paragraph" w:customStyle="1" w:styleId="SuperHeading">
    <w:name w:val="SuperHeading"/>
    <w:basedOn w:val="Normal"/>
    <w:rsid w:val="00A77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3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3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3FD"/>
    <w:rPr>
      <w:i/>
    </w:rPr>
  </w:style>
  <w:style w:type="paragraph" w:styleId="Caption">
    <w:name w:val="caption"/>
    <w:basedOn w:val="BodyText"/>
    <w:next w:val="Normal"/>
    <w:qFormat/>
    <w:rsid w:val="00A77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3FD"/>
  </w:style>
  <w:style w:type="paragraph" w:styleId="TableofFigures">
    <w:name w:val="table of figures"/>
    <w:basedOn w:val="Normal"/>
    <w:next w:val="Normal"/>
    <w:semiHidden/>
    <w:rsid w:val="00A77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3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3FD"/>
    <w:rPr>
      <w:rFonts w:ascii="Wingdings" w:hAnsi="Wingdings"/>
    </w:rPr>
  </w:style>
  <w:style w:type="paragraph" w:customStyle="1" w:styleId="TableHeading">
    <w:name w:val="Table Heading"/>
    <w:basedOn w:val="HeadingBase"/>
    <w:rsid w:val="00A77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3FD"/>
    <w:rPr>
      <w:color w:val="0033CC"/>
      <w:u w:val="none"/>
    </w:rPr>
  </w:style>
  <w:style w:type="paragraph" w:customStyle="1" w:styleId="BodyTextRight">
    <w:name w:val="Body Text Right"/>
    <w:basedOn w:val="BodyText"/>
    <w:rsid w:val="00A77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3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3FD"/>
    <w:rPr>
      <w:sz w:val="32"/>
    </w:rPr>
  </w:style>
  <w:style w:type="paragraph" w:customStyle="1" w:styleId="HeadingProcedure">
    <w:name w:val="Heading Procedure"/>
    <w:basedOn w:val="HeadingBase"/>
    <w:next w:val="Normal"/>
    <w:rsid w:val="00A77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3FD"/>
    <w:pPr>
      <w:spacing w:before="60" w:after="60"/>
    </w:pPr>
  </w:style>
  <w:style w:type="paragraph" w:styleId="ListContinue">
    <w:name w:val="List Continue"/>
    <w:basedOn w:val="List"/>
    <w:rsid w:val="00A773FD"/>
    <w:pPr>
      <w:ind w:firstLine="0"/>
    </w:pPr>
  </w:style>
  <w:style w:type="paragraph" w:customStyle="1" w:styleId="ListNote">
    <w:name w:val="List Note"/>
    <w:basedOn w:val="List"/>
    <w:rsid w:val="00A77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3FD"/>
    <w:rPr>
      <w:rFonts w:ascii="Courier New" w:hAnsi="Courier New"/>
    </w:rPr>
  </w:style>
  <w:style w:type="paragraph" w:customStyle="1" w:styleId="NoteBullet">
    <w:name w:val="Note Bullet"/>
    <w:basedOn w:val="Note"/>
    <w:rsid w:val="00A77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3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3FD"/>
    <w:rPr>
      <w:b/>
      <w:smallCaps/>
    </w:rPr>
  </w:style>
  <w:style w:type="paragraph" w:customStyle="1" w:styleId="TableListNumber">
    <w:name w:val="Table List Number"/>
    <w:basedOn w:val="ListNumber"/>
    <w:rsid w:val="00A77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3FD"/>
    <w:pPr>
      <w:numPr>
        <w:numId w:val="8"/>
      </w:numPr>
    </w:pPr>
  </w:style>
  <w:style w:type="paragraph" w:customStyle="1" w:styleId="ListAlpha2">
    <w:name w:val="List Alpha 2"/>
    <w:basedOn w:val="List2"/>
    <w:rsid w:val="00A773FD"/>
    <w:pPr>
      <w:numPr>
        <w:numId w:val="7"/>
      </w:numPr>
    </w:pPr>
  </w:style>
  <w:style w:type="paragraph" w:styleId="List2">
    <w:name w:val="List 2"/>
    <w:basedOn w:val="BodyText"/>
    <w:rsid w:val="00A77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3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3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3FD"/>
    <w:pPr>
      <w:numPr>
        <w:numId w:val="3"/>
      </w:numPr>
    </w:pPr>
  </w:style>
  <w:style w:type="paragraph" w:styleId="ListContinue2">
    <w:name w:val="List Continue 2"/>
    <w:basedOn w:val="List2"/>
    <w:rsid w:val="00A773FD"/>
    <w:pPr>
      <w:ind w:firstLine="0"/>
    </w:pPr>
  </w:style>
  <w:style w:type="paragraph" w:styleId="ListContinue3">
    <w:name w:val="List Continue 3"/>
    <w:basedOn w:val="List3"/>
    <w:rsid w:val="00A773FD"/>
    <w:pPr>
      <w:ind w:left="1021" w:firstLine="0"/>
    </w:pPr>
  </w:style>
  <w:style w:type="paragraph" w:styleId="ListContinue4">
    <w:name w:val="List Continue 4"/>
    <w:basedOn w:val="List4"/>
    <w:rsid w:val="00A773FD"/>
    <w:pPr>
      <w:ind w:firstLine="0"/>
    </w:pPr>
  </w:style>
  <w:style w:type="paragraph" w:styleId="ListContinue5">
    <w:name w:val="List Continue 5"/>
    <w:basedOn w:val="List5"/>
    <w:rsid w:val="00A773FD"/>
    <w:pPr>
      <w:ind w:firstLine="0"/>
    </w:pPr>
  </w:style>
  <w:style w:type="paragraph" w:styleId="ListNumber3">
    <w:name w:val="List Number 3"/>
    <w:basedOn w:val="List3"/>
    <w:rsid w:val="00A773FD"/>
    <w:pPr>
      <w:numPr>
        <w:numId w:val="4"/>
      </w:numPr>
    </w:pPr>
  </w:style>
  <w:style w:type="paragraph" w:styleId="ListNumber4">
    <w:name w:val="List Number 4"/>
    <w:basedOn w:val="List4"/>
    <w:rsid w:val="00A773FD"/>
    <w:pPr>
      <w:numPr>
        <w:numId w:val="5"/>
      </w:numPr>
    </w:pPr>
  </w:style>
  <w:style w:type="paragraph" w:styleId="ListNumber5">
    <w:name w:val="List Number 5"/>
    <w:basedOn w:val="List5"/>
    <w:rsid w:val="00A773FD"/>
    <w:pPr>
      <w:numPr>
        <w:numId w:val="6"/>
      </w:numPr>
    </w:pPr>
  </w:style>
  <w:style w:type="paragraph" w:styleId="BlockText">
    <w:name w:val="Block Text"/>
    <w:basedOn w:val="Normal"/>
    <w:rsid w:val="00A77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3FD"/>
    <w:rPr>
      <w:sz w:val="16"/>
      <w:vertAlign w:val="superscript"/>
    </w:rPr>
  </w:style>
  <w:style w:type="character" w:customStyle="1" w:styleId="Symbols">
    <w:name w:val="Symbols"/>
    <w:basedOn w:val="DefaultParagraphFont"/>
    <w:rsid w:val="00A773FD"/>
    <w:rPr>
      <w:rFonts w:ascii="Symbol" w:hAnsi="Symbol"/>
    </w:rPr>
  </w:style>
  <w:style w:type="character" w:customStyle="1" w:styleId="MenuOptions">
    <w:name w:val="Menu Options"/>
    <w:basedOn w:val="DefaultParagraphFont"/>
    <w:rsid w:val="00A77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3FD"/>
    <w:rPr>
      <w:b/>
    </w:rPr>
  </w:style>
  <w:style w:type="character" w:customStyle="1" w:styleId="Underlined">
    <w:name w:val="Underlined"/>
    <w:basedOn w:val="DefaultParagraphFont"/>
    <w:rsid w:val="00A773FD"/>
    <w:rPr>
      <w:u w:val="single"/>
    </w:rPr>
  </w:style>
  <w:style w:type="paragraph" w:customStyle="1" w:styleId="TableBodyTextRight">
    <w:name w:val="Table Body Text Right"/>
    <w:basedOn w:val="TableBodyText"/>
    <w:rsid w:val="00A77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3FD"/>
    <w:rPr>
      <w:sz w:val="18"/>
    </w:rPr>
  </w:style>
  <w:style w:type="paragraph" w:customStyle="1" w:styleId="BodySmallRight">
    <w:name w:val="Body Small Right"/>
    <w:basedOn w:val="BodyTextRight"/>
    <w:rsid w:val="00A773FD"/>
    <w:rPr>
      <w:sz w:val="18"/>
      <w:szCs w:val="18"/>
    </w:rPr>
  </w:style>
  <w:style w:type="paragraph" w:customStyle="1" w:styleId="MarginEdition">
    <w:name w:val="Margin Edition"/>
    <w:basedOn w:val="MarginNote"/>
    <w:rsid w:val="00A77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3FD"/>
    <w:rPr>
      <w:sz w:val="2"/>
      <w:szCs w:val="2"/>
    </w:rPr>
  </w:style>
  <w:style w:type="character" w:customStyle="1" w:styleId="Small">
    <w:name w:val="Small"/>
    <w:basedOn w:val="DefaultParagraphFont"/>
    <w:rsid w:val="00A773FD"/>
    <w:rPr>
      <w:sz w:val="16"/>
    </w:rPr>
  </w:style>
  <w:style w:type="paragraph" w:customStyle="1" w:styleId="WideTable">
    <w:name w:val="Wide Table"/>
    <w:basedOn w:val="Normal"/>
    <w:rsid w:val="00A77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3FD"/>
  </w:style>
  <w:style w:type="paragraph" w:styleId="Quote">
    <w:name w:val="Quote"/>
    <w:basedOn w:val="Heading1"/>
    <w:link w:val="QuoteChar"/>
    <w:qFormat/>
    <w:rsid w:val="00A77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3FD"/>
    <w:pPr>
      <w:pageBreakBefore/>
    </w:pPr>
  </w:style>
  <w:style w:type="paragraph" w:customStyle="1" w:styleId="Border">
    <w:name w:val="Border"/>
    <w:basedOn w:val="Normal"/>
    <w:qFormat/>
    <w:rsid w:val="00A77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3FD"/>
    <w:rPr>
      <w:u w:val="single"/>
    </w:rPr>
  </w:style>
  <w:style w:type="character" w:customStyle="1" w:styleId="BoldandItalics">
    <w:name w:val="Bold and Italics"/>
    <w:qFormat/>
    <w:rsid w:val="00A773FD"/>
    <w:rPr>
      <w:b/>
      <w:i/>
      <w:u w:val="none"/>
    </w:rPr>
  </w:style>
  <w:style w:type="paragraph" w:styleId="BalloonText">
    <w:name w:val="Balloon Text"/>
    <w:basedOn w:val="Normal"/>
    <w:link w:val="BalloonTextChar"/>
    <w:rsid w:val="00A77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3FD"/>
    <w:pPr>
      <w:spacing w:before="0" w:after="0"/>
    </w:pPr>
  </w:style>
  <w:style w:type="paragraph" w:customStyle="1" w:styleId="BodyTextBold">
    <w:name w:val="Body Text Bold"/>
    <w:basedOn w:val="BodyText"/>
    <w:qFormat/>
    <w:rsid w:val="00A773FD"/>
    <w:rPr>
      <w:b/>
    </w:rPr>
  </w:style>
  <w:style w:type="character" w:styleId="Hyperlink">
    <w:name w:val="Hyperlink"/>
    <w:basedOn w:val="DefaultParagraphFont"/>
    <w:uiPriority w:val="99"/>
    <w:unhideWhenUsed/>
    <w:rsid w:val="00302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3833</Characters>
  <Application>Microsoft Office Word</Application>
  <DocSecurity>0</DocSecurity>
  <Lines>201</Lines>
  <Paragraphs>114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MEM06005 Perform drop and upset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