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F7C" w:rsidP="00B33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MEM06003 Carry out heat treatment</w:t>
      </w:r>
      <w:r>
        <w:fldChar w:fldCharType="end"/>
      </w:r>
    </w:p>
    <w:p w:rsidR="00B33F7C" w:rsidP="00B33F7C">
      <w:pPr>
        <w:pStyle w:val="Version"/>
        <w:sectPr w:rsidSect="00A751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1B9" w:rsidP="00A751B9">
      <w:pPr>
        <w:pStyle w:val="SuperHeading"/>
      </w:pPr>
      <w:r w:rsidRPr="00A751B9">
        <w:t>MEM06003 Carry out heat treatment</w:t>
      </w:r>
    </w:p>
    <w:p w:rsidR="00000000" w:rsidRPr="00A751B9" w:rsidP="00A751B9">
      <w:pPr>
        <w:pStyle w:val="Heading1"/>
      </w:pPr>
      <w:bookmarkStart w:id="1" w:name="O_948824"/>
      <w:bookmarkEnd w:id="1"/>
      <w:r w:rsidRPr="00A751B9">
        <w:t>Modification History</w:t>
      </w:r>
    </w:p>
    <w:p w:rsidR="00000000" w:rsidRPr="00A751B9" w:rsidP="00B33F7C">
      <w:pPr>
        <w:pStyle w:val="BodyText"/>
      </w:pPr>
      <w:r w:rsidRPr="00A751B9">
        <w:t xml:space="preserve">Release 1. Supersedes and is equivalent to MEM06003C Carry out heat treatment </w:t>
      </w:r>
    </w:p>
    <w:p w:rsidR="00000000" w:rsidRPr="00A751B9" w:rsidP="00A751B9">
      <w:pPr>
        <w:pStyle w:val="Heading1"/>
      </w:pPr>
      <w:bookmarkStart w:id="2" w:name="O_948832"/>
      <w:bookmarkEnd w:id="2"/>
      <w:r w:rsidRPr="00A751B9">
        <w:t>Application</w:t>
      </w:r>
    </w:p>
    <w:p w:rsidR="00000000" w:rsidRPr="00A751B9" w:rsidP="00B33F7C">
      <w:pPr>
        <w:pStyle w:val="BodyText"/>
      </w:pPr>
      <w:r w:rsidRPr="00A751B9">
        <w:t xml:space="preserve">This unit of competency defines the skills and knowledge required to carry out heat treatment using a variety of equipment for </w:t>
      </w:r>
      <w:r w:rsidRPr="00A751B9">
        <w:t>cast metal products, machine tooling, and forged and machined components.</w:t>
      </w:r>
    </w:p>
    <w:p w:rsidR="00000000" w:rsidRPr="00A751B9" w:rsidP="00B33F7C">
      <w:pPr>
        <w:pStyle w:val="BodyText"/>
      </w:pPr>
      <w:r w:rsidRPr="00A751B9">
        <w:t>Where simple heat treatment applications like annealing and/or heat/quench processes undertaken as incidental to trade work (e.g. toolmaking) is required unit MEM06007 Perform basic</w:t>
      </w:r>
      <w:r w:rsidRPr="00A751B9">
        <w:t xml:space="preserve"> incidental heat/quenching, tempering and annealing should be selected.</w:t>
      </w:r>
    </w:p>
    <w:p w:rsidR="00000000" w:rsidRPr="00A751B9" w:rsidP="00B33F7C">
      <w:pPr>
        <w:pStyle w:val="BodyText"/>
      </w:pPr>
      <w:r w:rsidRPr="00A751B9">
        <w:t>Where the interpretation of technical drawings is required unit MEM09002 Interpret technical drawing should also be selected.</w:t>
      </w:r>
    </w:p>
    <w:p w:rsidR="00000000" w:rsidRPr="00A751B9" w:rsidP="00B33F7C">
      <w:pPr>
        <w:pStyle w:val="BodyText"/>
      </w:pPr>
      <w:r w:rsidRPr="00A751B9">
        <w:t>Where the selection and use of engineering measurement i</w:t>
      </w:r>
      <w:r w:rsidRPr="00A751B9">
        <w:t>s required unit MEM12023 Perform engineering measurements should also be selected.</w:t>
      </w:r>
    </w:p>
    <w:p w:rsidR="00000000" w:rsidRPr="00A751B9" w:rsidP="00B33F7C">
      <w:pPr>
        <w:pStyle w:val="BodyText"/>
      </w:pPr>
      <w:r w:rsidRPr="00A751B9">
        <w:t>Where the selection and use of tools is required unit MEM18001 Use hand tools and unit MEM18002 Use power tools/hand held operations, should also be selected as appropriate</w:t>
      </w:r>
      <w:r w:rsidRPr="00A751B9">
        <w:t>.</w:t>
      </w:r>
    </w:p>
    <w:p w:rsidR="00000000" w:rsidRPr="00A751B9" w:rsidP="00B33F7C">
      <w:pPr>
        <w:pStyle w:val="BodyText"/>
      </w:pPr>
      <w:r w:rsidRPr="00A751B9">
        <w:t>No licensing, legislative or certification requirements apply to this unit at the time of publication.</w:t>
      </w:r>
    </w:p>
    <w:p w:rsidR="00000000" w:rsidRPr="00A751B9" w:rsidP="00A751B9">
      <w:pPr>
        <w:pStyle w:val="BodyText"/>
      </w:pPr>
      <w:r w:rsidRPr="00A751B9">
        <w:rPr>
          <w:rStyle w:val="SpecialBold"/>
        </w:rPr>
        <w:t>Band:</w:t>
      </w:r>
      <w:r w:rsidRPr="00A751B9">
        <w:rPr>
          <w:rStyle w:val="SpecialBold"/>
        </w:rPr>
        <w:tab/>
        <w:t>A</w:t>
      </w:r>
    </w:p>
    <w:p w:rsidR="00000000" w:rsidRPr="00A751B9" w:rsidP="00A751B9">
      <w:pPr>
        <w:pStyle w:val="BodyText"/>
      </w:pPr>
      <w:r w:rsidRPr="00A751B9">
        <w:rPr>
          <w:rStyle w:val="SpecialBold"/>
        </w:rPr>
        <w:t>Unit Weight:</w:t>
      </w:r>
      <w:r w:rsidRPr="00A751B9">
        <w:rPr>
          <w:rStyle w:val="SpecialBold"/>
        </w:rPr>
        <w:tab/>
        <w:t>6</w:t>
      </w:r>
    </w:p>
    <w:p w:rsidR="00000000" w:rsidRPr="00A751B9" w:rsidP="00A751B9">
      <w:pPr>
        <w:pStyle w:val="AllowPageBreak"/>
      </w:pPr>
    </w:p>
    <w:p w:rsidR="00000000" w:rsidRPr="00A751B9" w:rsidP="00A751B9">
      <w:pPr>
        <w:pStyle w:val="Heading1"/>
      </w:pPr>
      <w:bookmarkStart w:id="3" w:name="O_948831"/>
      <w:bookmarkEnd w:id="3"/>
      <w:r w:rsidRPr="00A751B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MEM11011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Undertake manual handling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Work safely and effectively in manufacturing and engineering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B9" w:rsidP="00A751B9">
            <w:pPr>
              <w:pStyle w:val="BodyText"/>
            </w:pPr>
            <w:r w:rsidRPr="00A751B9">
              <w:t>Organise and communicate information</w:t>
            </w:r>
          </w:p>
        </w:tc>
      </w:tr>
    </w:tbl>
    <w:p w:rsidR="00000000" w:rsidRPr="00A751B9" w:rsidP="00A751B9">
      <w:pPr>
        <w:pStyle w:val="BodyText"/>
      </w:pPr>
    </w:p>
    <w:p w:rsidR="00000000" w:rsidRPr="00A751B9" w:rsidP="00A751B9">
      <w:pPr>
        <w:pStyle w:val="AllowPageBreak"/>
      </w:pPr>
    </w:p>
    <w:p w:rsidR="00000000" w:rsidRPr="00A751B9" w:rsidP="00A751B9">
      <w:pPr>
        <w:pStyle w:val="Heading1"/>
      </w:pPr>
      <w:bookmarkStart w:id="4" w:name="O_948830"/>
      <w:bookmarkEnd w:id="4"/>
      <w:r w:rsidRPr="00A751B9">
        <w:t>Competency Field</w:t>
      </w:r>
    </w:p>
    <w:p w:rsidR="00000000" w:rsidRPr="00A751B9" w:rsidP="00B33F7C">
      <w:pPr>
        <w:pStyle w:val="BodyText"/>
      </w:pPr>
      <w:r w:rsidRPr="00A751B9">
        <w:t>Forging</w:t>
      </w:r>
    </w:p>
    <w:p w:rsidR="00000000" w:rsidRPr="00A751B9" w:rsidP="00A751B9">
      <w:pPr>
        <w:pStyle w:val="Heading1"/>
      </w:pPr>
      <w:bookmarkStart w:id="5" w:name="O_948828"/>
      <w:bookmarkEnd w:id="5"/>
      <w:r w:rsidRPr="00A751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Performanc</w:t>
            </w:r>
            <w:r w:rsidRPr="00A751B9">
              <w:t>e criteria describe the performance needed to demonstrate achievement of the element.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B9" w:rsidP="00A751B9">
            <w:pPr>
              <w:pStyle w:val="BodyText"/>
            </w:pPr>
            <w:r w:rsidRPr="00A751B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Follow standard operating procedures (SOPs)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Comply with work health and safety (WHS) requirements at all times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Use appropriate personal protective equipment (PPE) in accordance with SOPs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Identify job requirements from specifications, sketches, job sheets or verbal instructions from metallurgist or supervisor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B9" w:rsidP="00A751B9">
            <w:pPr>
              <w:pStyle w:val="BodyText"/>
            </w:pPr>
            <w:r w:rsidRPr="00A751B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rPr>
                <w:rStyle w:val="SpecialBold"/>
              </w:rPr>
              <w:t>Select and set up heat treatment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Select appropriate equipment for the required heat treatment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Set up equipment according to SOPs and manufacturers</w:t>
            </w:r>
            <w:r>
              <w:t>’</w:t>
            </w:r>
            <w:r w:rsidRPr="00A751B9">
              <w:t xml:space="preserve"> instructions 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B9" w:rsidP="00A751B9">
            <w:pPr>
              <w:pStyle w:val="BodyText"/>
            </w:pPr>
            <w:r w:rsidRPr="00A751B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rPr>
                <w:rStyle w:val="SpecialBold"/>
              </w:rPr>
              <w:t>Work safely with hot metals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Demonstrate emergency procedures according to approved safety instructions and identity and follow safety signs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Use equipment according to specifications and SOPs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B9" w:rsidP="00A751B9">
            <w:pPr>
              <w:pStyle w:val="BodyText"/>
            </w:pPr>
            <w:r w:rsidRPr="00A751B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rPr>
                <w:rStyle w:val="SpecialBold"/>
              </w:rPr>
              <w:t>Heat treat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Treat material to achieve required result, which may include preparation processes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Piece or batch load and unload material using equipment according to SOPs</w:t>
            </w:r>
          </w:p>
        </w:tc>
      </w:tr>
      <w:tr w:rsidTr="00A751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B9" w:rsidP="00A751B9">
            <w:pPr>
              <w:pStyle w:val="BodyText"/>
            </w:pPr>
            <w:r w:rsidRPr="00A751B9">
              <w:t>Maintain correct temperature according to SOPs</w:t>
            </w:r>
          </w:p>
        </w:tc>
      </w:tr>
    </w:tbl>
    <w:p w:rsidR="00000000" w:rsidRPr="00A751B9" w:rsidP="00A751B9">
      <w:pPr>
        <w:pStyle w:val="BodyText"/>
      </w:pPr>
    </w:p>
    <w:p w:rsidR="00000000" w:rsidRPr="00A751B9" w:rsidP="00A751B9">
      <w:pPr>
        <w:pStyle w:val="AllowPageBreak"/>
      </w:pPr>
    </w:p>
    <w:p w:rsidR="00000000" w:rsidRPr="00A751B9" w:rsidP="00A751B9">
      <w:pPr>
        <w:pStyle w:val="Heading1"/>
      </w:pPr>
      <w:bookmarkStart w:id="6" w:name="O_948827"/>
      <w:bookmarkEnd w:id="6"/>
      <w:r w:rsidRPr="00A751B9">
        <w:t>Foundation Skills</w:t>
      </w:r>
    </w:p>
    <w:p w:rsidR="00000000" w:rsidRPr="00A751B9" w:rsidP="00B33F7C">
      <w:pPr>
        <w:pStyle w:val="BodyText"/>
      </w:pPr>
      <w:r w:rsidRPr="00A751B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751B9" w:rsidP="00B33F7C">
      <w:pPr>
        <w:pStyle w:val="BodyText"/>
      </w:pPr>
      <w:r w:rsidRPr="00A751B9">
        <w:t>Foundation skills essential to performance are explicit in the performance criteria of this unit of competency.</w:t>
      </w:r>
    </w:p>
    <w:p w:rsidR="00000000" w:rsidRPr="00A751B9" w:rsidP="00A751B9">
      <w:pPr>
        <w:pStyle w:val="Heading1"/>
      </w:pPr>
      <w:bookmarkStart w:id="7" w:name="O_948826"/>
      <w:bookmarkEnd w:id="7"/>
      <w:r w:rsidRPr="00A751B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A751B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t>This field allows for different work environments and conditions that may affect performance. Essential ope</w:t>
            </w:r>
            <w:r w:rsidRPr="00A751B9">
              <w:t>rating conditions that may be present (depending on the work situation, accessibility of the item, and local industry and regional contexts) are included.</w:t>
            </w:r>
          </w:p>
        </w:tc>
      </w:tr>
      <w:tr w:rsidTr="00A751B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B9" w:rsidP="00A751B9">
            <w:pPr>
              <w:pStyle w:val="ListBullet"/>
            </w:pPr>
            <w:r w:rsidRPr="00A751B9">
              <w:t>gas</w:t>
            </w:r>
          </w:p>
          <w:p w:rsidR="00000000" w:rsidRPr="00A751B9" w:rsidP="00A751B9">
            <w:pPr>
              <w:pStyle w:val="ListBullet"/>
            </w:pPr>
            <w:r w:rsidRPr="00A751B9">
              <w:t>electric</w:t>
            </w:r>
          </w:p>
          <w:p w:rsidR="00000000" w:rsidRPr="00A751B9" w:rsidP="00A751B9">
            <w:pPr>
              <w:pStyle w:val="ListBullet"/>
            </w:pPr>
            <w:r w:rsidRPr="00A751B9">
              <w:t>oil fired furnaces</w:t>
            </w:r>
          </w:p>
          <w:p w:rsidR="00000000" w:rsidRPr="00A751B9" w:rsidP="00A751B9">
            <w:pPr>
              <w:pStyle w:val="ListBullet"/>
            </w:pPr>
            <w:r w:rsidRPr="00A751B9">
              <w:t>vacuum furnac</w:t>
            </w:r>
            <w:r w:rsidRPr="00A751B9">
              <w:t>e</w:t>
            </w:r>
          </w:p>
          <w:p w:rsidR="00000000" w:rsidRPr="00A751B9" w:rsidP="00A751B9">
            <w:pPr>
              <w:pStyle w:val="ListBullet"/>
            </w:pPr>
            <w:r w:rsidRPr="00A751B9">
              <w:t>induction heating</w:t>
            </w:r>
          </w:p>
          <w:p w:rsidR="00000000" w:rsidRPr="00A751B9" w:rsidP="00A751B9">
            <w:pPr>
              <w:pStyle w:val="ListBullet"/>
            </w:pPr>
            <w:r w:rsidRPr="00A751B9">
              <w:t>kilns</w:t>
            </w:r>
          </w:p>
          <w:p w:rsidR="00000000" w:rsidRPr="00A751B9" w:rsidP="00A751B9">
            <w:pPr>
              <w:pStyle w:val="ListBullet"/>
            </w:pPr>
            <w:r w:rsidRPr="00A751B9">
              <w:t>heated baths</w:t>
            </w:r>
          </w:p>
          <w:p w:rsidR="00000000" w:rsidRPr="00A751B9" w:rsidP="00A751B9">
            <w:pPr>
              <w:pStyle w:val="ListBullet"/>
            </w:pPr>
            <w:r w:rsidRPr="00A751B9">
              <w:t>salt baths</w:t>
            </w:r>
          </w:p>
          <w:p w:rsidR="00000000" w:rsidRPr="00A751B9" w:rsidP="00A751B9">
            <w:pPr>
              <w:pStyle w:val="ListBullet"/>
            </w:pPr>
            <w:r w:rsidRPr="00A751B9">
              <w:t xml:space="preserve">specialised tongs/tools </w:t>
            </w:r>
          </w:p>
          <w:p w:rsidR="00000000" w:rsidRPr="00A751B9" w:rsidP="00A751B9">
            <w:pPr>
              <w:pStyle w:val="ListBullet"/>
            </w:pPr>
            <w:r w:rsidRPr="00A751B9">
              <w:t>lifting equipment</w:t>
            </w:r>
          </w:p>
          <w:p w:rsidR="00000000" w:rsidP="00A751B9">
            <w:pPr>
              <w:pStyle w:val="BodyText"/>
              <w:rPr>
                <w:lang w:val="en-NZ"/>
              </w:rPr>
            </w:pPr>
          </w:p>
        </w:tc>
      </w:tr>
      <w:tr w:rsidTr="00A751B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B9" w:rsidP="00A751B9">
            <w:pPr>
              <w:pStyle w:val="ListBullet"/>
            </w:pPr>
            <w:r w:rsidRPr="00A751B9">
              <w:t>carbon steels</w:t>
            </w:r>
          </w:p>
          <w:p w:rsidR="00000000" w:rsidRPr="00A751B9" w:rsidP="00A751B9">
            <w:pPr>
              <w:pStyle w:val="ListBullet"/>
            </w:pPr>
            <w:r w:rsidRPr="00A751B9">
              <w:t>alloy steels</w:t>
            </w:r>
          </w:p>
          <w:p w:rsidR="00000000" w:rsidRPr="00A751B9" w:rsidP="00A751B9">
            <w:pPr>
              <w:pStyle w:val="ListBullet"/>
            </w:pPr>
            <w:r w:rsidRPr="00A751B9">
              <w:t>non-ferrous</w:t>
            </w:r>
          </w:p>
          <w:p w:rsidR="00000000" w:rsidP="00A751B9">
            <w:pPr>
              <w:pStyle w:val="BodyText"/>
              <w:rPr>
                <w:lang w:val="en-NZ"/>
              </w:rPr>
            </w:pPr>
          </w:p>
        </w:tc>
      </w:tr>
      <w:tr w:rsidTr="00A751B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1B9">
            <w:pPr>
              <w:pStyle w:val="BodyText"/>
              <w:rPr>
                <w:lang w:val="en-NZ"/>
              </w:rPr>
            </w:pPr>
            <w:r w:rsidRPr="00A751B9">
              <w:rPr>
                <w:rStyle w:val="SpecialBold"/>
              </w:rPr>
              <w:t xml:space="preserve">Preparation processes include one (1) or more of the following: 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1B9" w:rsidP="00A751B9">
            <w:pPr>
              <w:pStyle w:val="ListBullet"/>
            </w:pPr>
            <w:r w:rsidRPr="00A751B9">
              <w:t>coatings and packings</w:t>
            </w:r>
          </w:p>
          <w:p w:rsidR="00000000" w:rsidRPr="00A751B9" w:rsidP="00A751B9">
            <w:pPr>
              <w:pStyle w:val="ListBullet"/>
            </w:pPr>
            <w:r w:rsidRPr="00A751B9">
              <w:t>preheating</w:t>
            </w:r>
          </w:p>
          <w:p w:rsidR="00000000" w:rsidRPr="00A751B9" w:rsidP="00A751B9">
            <w:pPr>
              <w:pStyle w:val="ListBullet"/>
            </w:pPr>
            <w:r w:rsidRPr="00A751B9">
              <w:t>soaking</w:t>
            </w:r>
          </w:p>
          <w:p w:rsidR="00000000" w:rsidRPr="00A751B9" w:rsidP="00A751B9">
            <w:pPr>
              <w:pStyle w:val="ListBullet"/>
            </w:pPr>
            <w:r w:rsidRPr="00A751B9">
              <w:t>quenching</w:t>
            </w:r>
          </w:p>
          <w:p w:rsidR="00000000" w:rsidRPr="00A751B9" w:rsidP="00A751B9">
            <w:pPr>
              <w:pStyle w:val="ListBullet"/>
            </w:pPr>
            <w:r w:rsidRPr="00A751B9">
              <w:t>tempering</w:t>
            </w:r>
          </w:p>
          <w:p w:rsidR="00000000" w:rsidRPr="00A751B9" w:rsidP="00A751B9">
            <w:pPr>
              <w:pStyle w:val="ListBullet"/>
            </w:pPr>
            <w:r w:rsidRPr="00A751B9">
              <w:t>annealing</w:t>
            </w:r>
          </w:p>
          <w:p w:rsidR="00000000" w:rsidRPr="00A751B9" w:rsidP="00A751B9">
            <w:pPr>
              <w:pStyle w:val="ListBullet"/>
            </w:pPr>
            <w:r w:rsidRPr="00A751B9">
              <w:t>normalising</w:t>
            </w:r>
          </w:p>
          <w:p w:rsidR="00000000" w:rsidRPr="00A751B9" w:rsidP="00A751B9">
            <w:pPr>
              <w:pStyle w:val="ListBullet"/>
            </w:pPr>
            <w:r w:rsidRPr="00A751B9">
              <w:t>carburizing</w:t>
            </w:r>
          </w:p>
          <w:p w:rsidR="00000000" w:rsidRPr="00A751B9" w:rsidP="00A751B9">
            <w:pPr>
              <w:pStyle w:val="ListBullet"/>
            </w:pPr>
            <w:r w:rsidRPr="00A751B9">
              <w:t>sintering</w:t>
            </w:r>
          </w:p>
        </w:tc>
      </w:tr>
    </w:tbl>
    <w:p w:rsidR="00000000" w:rsidRPr="00A751B9" w:rsidP="00A751B9">
      <w:pPr>
        <w:pStyle w:val="BodyText"/>
      </w:pPr>
    </w:p>
    <w:p w:rsidR="00000000" w:rsidRPr="00A751B9" w:rsidP="00A751B9">
      <w:pPr>
        <w:pStyle w:val="AllowPageBreak"/>
      </w:pPr>
    </w:p>
    <w:p w:rsidR="00000000" w:rsidRPr="00A751B9" w:rsidP="00A751B9">
      <w:pPr>
        <w:pStyle w:val="Heading1"/>
      </w:pPr>
      <w:bookmarkStart w:id="8" w:name="O_948825"/>
      <w:bookmarkEnd w:id="8"/>
      <w:r w:rsidRPr="00A751B9">
        <w:t>Unit Mapping Information</w:t>
      </w:r>
    </w:p>
    <w:p w:rsidR="00000000" w:rsidRPr="00A751B9" w:rsidP="00B33F7C">
      <w:pPr>
        <w:pStyle w:val="BodyText"/>
      </w:pPr>
      <w:r w:rsidRPr="00A751B9">
        <w:t xml:space="preserve">Release 1. Supersedes and is equivalent to MEM06003C Carry out heat treatment </w:t>
      </w:r>
    </w:p>
    <w:p w:rsidR="00000000" w:rsidRPr="00A751B9" w:rsidP="00A751B9">
      <w:pPr>
        <w:pStyle w:val="Heading1"/>
      </w:pPr>
      <w:bookmarkStart w:id="9" w:name="O_948818"/>
      <w:bookmarkEnd w:id="9"/>
      <w:r w:rsidRPr="00A751B9">
        <w:t>Links</w:t>
      </w:r>
    </w:p>
    <w:p w:rsidR="00000000" w:rsidRPr="00A751B9" w:rsidP="00B33F7C">
      <w:pPr>
        <w:pStyle w:val="BodyText"/>
      </w:pPr>
      <w:r w:rsidRPr="00A751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A7AD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751B9" w:rsidP="00A751B9"/>
    <w:sectPr w:rsidSect="00A751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B9" w:rsidRPr="00B33F7C" w:rsidP="00B33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7C" w:rsidP="00A751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F7C" w:rsidP="00A751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3F7C" w:rsidP="00A751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1B9" w:rsidRPr="00B33F7C" w:rsidP="00B33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7C" w:rsidRPr="002D2AF8" w:rsidP="00A751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MEM06003 Carry out heat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33F7C" w:rsidP="00A751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660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243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1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1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1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1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1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1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1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1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1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1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1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1B9"/>
  </w:style>
  <w:style w:type="character" w:customStyle="1" w:styleId="Heading1Char">
    <w:name w:val="Heading 1 Char"/>
    <w:basedOn w:val="DefaultParagraphFont"/>
    <w:link w:val="Heading1"/>
    <w:rsid w:val="00A751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1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1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1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1B9"/>
    <w:rPr>
      <w:b/>
      <w:spacing w:val="0"/>
    </w:rPr>
  </w:style>
  <w:style w:type="paragraph" w:customStyle="1" w:styleId="SuperHeading">
    <w:name w:val="SuperHeading"/>
    <w:basedOn w:val="Normal"/>
    <w:rsid w:val="00A751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1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1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1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1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1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1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1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1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1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1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1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1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1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1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1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1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1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1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1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1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1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1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1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1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1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1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1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1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1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1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1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1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1B9"/>
    <w:rPr>
      <w:i/>
    </w:rPr>
  </w:style>
  <w:style w:type="paragraph" w:styleId="Caption">
    <w:name w:val="caption"/>
    <w:basedOn w:val="BodyText"/>
    <w:next w:val="Normal"/>
    <w:qFormat/>
    <w:rsid w:val="00A751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1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1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1B9"/>
  </w:style>
  <w:style w:type="paragraph" w:styleId="TableofFigures">
    <w:name w:val="table of figures"/>
    <w:basedOn w:val="Normal"/>
    <w:next w:val="Normal"/>
    <w:semiHidden/>
    <w:rsid w:val="00A751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1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1B9"/>
    <w:rPr>
      <w:rFonts w:ascii="Wingdings" w:hAnsi="Wingdings"/>
    </w:rPr>
  </w:style>
  <w:style w:type="paragraph" w:customStyle="1" w:styleId="TableHeading">
    <w:name w:val="Table Heading"/>
    <w:basedOn w:val="HeadingBase"/>
    <w:rsid w:val="00A751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1B9"/>
    <w:rPr>
      <w:color w:val="0033CC"/>
      <w:u w:val="none"/>
    </w:rPr>
  </w:style>
  <w:style w:type="paragraph" w:customStyle="1" w:styleId="BodyTextRight">
    <w:name w:val="Body Text Right"/>
    <w:basedOn w:val="BodyText"/>
    <w:rsid w:val="00A751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1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1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1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1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1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1B9"/>
    <w:rPr>
      <w:sz w:val="32"/>
    </w:rPr>
  </w:style>
  <w:style w:type="paragraph" w:customStyle="1" w:styleId="HeadingProcedure">
    <w:name w:val="Heading Procedure"/>
    <w:basedOn w:val="HeadingBase"/>
    <w:next w:val="Normal"/>
    <w:rsid w:val="00A751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1B9"/>
    <w:pPr>
      <w:spacing w:before="60" w:after="60"/>
    </w:pPr>
  </w:style>
  <w:style w:type="paragraph" w:styleId="ListContinue">
    <w:name w:val="List Continue"/>
    <w:basedOn w:val="List"/>
    <w:rsid w:val="00A751B9"/>
    <w:pPr>
      <w:ind w:firstLine="0"/>
    </w:pPr>
  </w:style>
  <w:style w:type="paragraph" w:customStyle="1" w:styleId="ListNote">
    <w:name w:val="List Note"/>
    <w:basedOn w:val="List"/>
    <w:rsid w:val="00A751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1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1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1B9"/>
    <w:rPr>
      <w:rFonts w:ascii="Courier New" w:hAnsi="Courier New"/>
    </w:rPr>
  </w:style>
  <w:style w:type="paragraph" w:customStyle="1" w:styleId="NoteBullet">
    <w:name w:val="Note Bullet"/>
    <w:basedOn w:val="Note"/>
    <w:rsid w:val="00A751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1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1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1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1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1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1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1B9"/>
    <w:rPr>
      <w:b/>
      <w:smallCaps/>
    </w:rPr>
  </w:style>
  <w:style w:type="paragraph" w:customStyle="1" w:styleId="TableListNumber">
    <w:name w:val="Table List Number"/>
    <w:basedOn w:val="ListNumber"/>
    <w:rsid w:val="00A751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1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1B9"/>
    <w:pPr>
      <w:numPr>
        <w:numId w:val="8"/>
      </w:numPr>
    </w:pPr>
  </w:style>
  <w:style w:type="paragraph" w:customStyle="1" w:styleId="ListAlpha2">
    <w:name w:val="List Alpha 2"/>
    <w:basedOn w:val="List2"/>
    <w:rsid w:val="00A751B9"/>
    <w:pPr>
      <w:numPr>
        <w:numId w:val="7"/>
      </w:numPr>
    </w:pPr>
  </w:style>
  <w:style w:type="paragraph" w:styleId="List2">
    <w:name w:val="List 2"/>
    <w:basedOn w:val="BodyText"/>
    <w:rsid w:val="00A751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1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1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1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1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1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1B9"/>
    <w:pPr>
      <w:numPr>
        <w:numId w:val="3"/>
      </w:numPr>
    </w:pPr>
  </w:style>
  <w:style w:type="paragraph" w:styleId="ListContinue2">
    <w:name w:val="List Continue 2"/>
    <w:basedOn w:val="List2"/>
    <w:rsid w:val="00A751B9"/>
    <w:pPr>
      <w:ind w:firstLine="0"/>
    </w:pPr>
  </w:style>
  <w:style w:type="paragraph" w:styleId="ListContinue3">
    <w:name w:val="List Continue 3"/>
    <w:basedOn w:val="List3"/>
    <w:rsid w:val="00A751B9"/>
    <w:pPr>
      <w:ind w:left="1021" w:firstLine="0"/>
    </w:pPr>
  </w:style>
  <w:style w:type="paragraph" w:styleId="ListContinue4">
    <w:name w:val="List Continue 4"/>
    <w:basedOn w:val="List4"/>
    <w:rsid w:val="00A751B9"/>
    <w:pPr>
      <w:ind w:firstLine="0"/>
    </w:pPr>
  </w:style>
  <w:style w:type="paragraph" w:styleId="ListContinue5">
    <w:name w:val="List Continue 5"/>
    <w:basedOn w:val="List5"/>
    <w:rsid w:val="00A751B9"/>
    <w:pPr>
      <w:ind w:firstLine="0"/>
    </w:pPr>
  </w:style>
  <w:style w:type="paragraph" w:styleId="ListNumber3">
    <w:name w:val="List Number 3"/>
    <w:basedOn w:val="List3"/>
    <w:rsid w:val="00A751B9"/>
    <w:pPr>
      <w:numPr>
        <w:numId w:val="4"/>
      </w:numPr>
    </w:pPr>
  </w:style>
  <w:style w:type="paragraph" w:styleId="ListNumber4">
    <w:name w:val="List Number 4"/>
    <w:basedOn w:val="List4"/>
    <w:rsid w:val="00A751B9"/>
    <w:pPr>
      <w:numPr>
        <w:numId w:val="5"/>
      </w:numPr>
    </w:pPr>
  </w:style>
  <w:style w:type="paragraph" w:styleId="ListNumber5">
    <w:name w:val="List Number 5"/>
    <w:basedOn w:val="List5"/>
    <w:rsid w:val="00A751B9"/>
    <w:pPr>
      <w:numPr>
        <w:numId w:val="6"/>
      </w:numPr>
    </w:pPr>
  </w:style>
  <w:style w:type="paragraph" w:styleId="BlockText">
    <w:name w:val="Block Text"/>
    <w:basedOn w:val="Normal"/>
    <w:rsid w:val="00A751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1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1B9"/>
    <w:rPr>
      <w:sz w:val="16"/>
      <w:vertAlign w:val="superscript"/>
    </w:rPr>
  </w:style>
  <w:style w:type="character" w:customStyle="1" w:styleId="Symbols">
    <w:name w:val="Symbols"/>
    <w:basedOn w:val="DefaultParagraphFont"/>
    <w:rsid w:val="00A751B9"/>
    <w:rPr>
      <w:rFonts w:ascii="Symbol" w:hAnsi="Symbol"/>
    </w:rPr>
  </w:style>
  <w:style w:type="character" w:customStyle="1" w:styleId="MenuOptions">
    <w:name w:val="Menu Options"/>
    <w:basedOn w:val="DefaultParagraphFont"/>
    <w:rsid w:val="00A751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1B9"/>
    <w:rPr>
      <w:b/>
    </w:rPr>
  </w:style>
  <w:style w:type="character" w:customStyle="1" w:styleId="Underlined">
    <w:name w:val="Underlined"/>
    <w:basedOn w:val="DefaultParagraphFont"/>
    <w:rsid w:val="00A751B9"/>
    <w:rPr>
      <w:u w:val="single"/>
    </w:rPr>
  </w:style>
  <w:style w:type="paragraph" w:customStyle="1" w:styleId="TableBodyTextRight">
    <w:name w:val="Table Body Text Right"/>
    <w:basedOn w:val="TableBodyText"/>
    <w:rsid w:val="00A751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1B9"/>
    <w:rPr>
      <w:sz w:val="18"/>
    </w:rPr>
  </w:style>
  <w:style w:type="paragraph" w:customStyle="1" w:styleId="BodySmallRight">
    <w:name w:val="Body Small Right"/>
    <w:basedOn w:val="BodyTextRight"/>
    <w:rsid w:val="00A751B9"/>
    <w:rPr>
      <w:sz w:val="18"/>
      <w:szCs w:val="18"/>
    </w:rPr>
  </w:style>
  <w:style w:type="paragraph" w:customStyle="1" w:styleId="MarginEdition">
    <w:name w:val="Margin Edition"/>
    <w:basedOn w:val="MarginNote"/>
    <w:rsid w:val="00A751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1B9"/>
    <w:rPr>
      <w:sz w:val="2"/>
      <w:szCs w:val="2"/>
    </w:rPr>
  </w:style>
  <w:style w:type="character" w:customStyle="1" w:styleId="Small">
    <w:name w:val="Small"/>
    <w:basedOn w:val="DefaultParagraphFont"/>
    <w:rsid w:val="00A751B9"/>
    <w:rPr>
      <w:sz w:val="16"/>
    </w:rPr>
  </w:style>
  <w:style w:type="paragraph" w:customStyle="1" w:styleId="WideTable">
    <w:name w:val="Wide Table"/>
    <w:basedOn w:val="Normal"/>
    <w:rsid w:val="00A751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1B9"/>
  </w:style>
  <w:style w:type="paragraph" w:styleId="Quote">
    <w:name w:val="Quote"/>
    <w:basedOn w:val="Heading1"/>
    <w:link w:val="QuoteChar"/>
    <w:qFormat/>
    <w:rsid w:val="00A751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1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1B9"/>
    <w:pPr>
      <w:pageBreakBefore/>
    </w:pPr>
  </w:style>
  <w:style w:type="paragraph" w:customStyle="1" w:styleId="Border">
    <w:name w:val="Border"/>
    <w:basedOn w:val="Normal"/>
    <w:qFormat/>
    <w:rsid w:val="00A751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1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1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1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1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1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1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1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1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1B9"/>
    <w:rPr>
      <w:u w:val="single"/>
    </w:rPr>
  </w:style>
  <w:style w:type="character" w:customStyle="1" w:styleId="BoldandItalics">
    <w:name w:val="Bold and Italics"/>
    <w:qFormat/>
    <w:rsid w:val="00A751B9"/>
    <w:rPr>
      <w:b/>
      <w:i/>
      <w:u w:val="none"/>
    </w:rPr>
  </w:style>
  <w:style w:type="paragraph" w:styleId="BalloonText">
    <w:name w:val="Balloon Text"/>
    <w:basedOn w:val="Normal"/>
    <w:link w:val="BalloonTextChar"/>
    <w:rsid w:val="00A751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1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1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1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1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1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1B9"/>
    <w:pPr>
      <w:spacing w:before="0" w:after="0"/>
    </w:pPr>
  </w:style>
  <w:style w:type="paragraph" w:customStyle="1" w:styleId="BodyTextBold">
    <w:name w:val="Body Text Bold"/>
    <w:basedOn w:val="BodyText"/>
    <w:qFormat/>
    <w:rsid w:val="00A751B9"/>
    <w:rPr>
      <w:b/>
    </w:rPr>
  </w:style>
  <w:style w:type="character" w:styleId="Hyperlink">
    <w:name w:val="Hyperlink"/>
    <w:basedOn w:val="DefaultParagraphFont"/>
    <w:uiPriority w:val="99"/>
    <w:unhideWhenUsed/>
    <w:rsid w:val="00B33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3507</Characters>
  <Application>Microsoft Office Word</Application>
  <DocSecurity>0</DocSecurity>
  <Lines>175</Lines>
  <Paragraphs>106</Paragraphs>
  <ScaleCrop>false</ScaleCrop>
  <Company>Author-it Software Corporation Ltd.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MEM06003 Carry out heat treatment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