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50F6" w:rsidP="00A750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MEM06002 Perform hammer forging</w:t>
      </w:r>
      <w:r>
        <w:fldChar w:fldCharType="end"/>
      </w:r>
    </w:p>
    <w:p w:rsidR="00A750F6" w:rsidP="00A750F6">
      <w:pPr>
        <w:pStyle w:val="Version"/>
        <w:sectPr w:rsidSect="00200A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AE6" w:rsidP="00200AE6">
      <w:pPr>
        <w:pStyle w:val="SuperHeading"/>
      </w:pPr>
      <w:r w:rsidRPr="00200AE6">
        <w:t>MEM06002 Perform hammer forging</w:t>
      </w:r>
    </w:p>
    <w:p w:rsidR="00000000" w:rsidRPr="00200AE6" w:rsidP="00200AE6">
      <w:pPr>
        <w:pStyle w:val="Heading1"/>
      </w:pPr>
      <w:bookmarkStart w:id="1" w:name="O_948805"/>
      <w:bookmarkEnd w:id="1"/>
      <w:r w:rsidRPr="00200AE6">
        <w:t>Modification History</w:t>
      </w:r>
    </w:p>
    <w:p w:rsidR="00000000" w:rsidRPr="00200AE6" w:rsidP="00A750F6">
      <w:pPr>
        <w:pStyle w:val="BodyText"/>
      </w:pPr>
      <w:r w:rsidRPr="00200AE6">
        <w:t>Release 1. Supersedes and is equivalent to MEM06002B Perform hammer forging</w:t>
      </w:r>
    </w:p>
    <w:p w:rsidR="00000000" w:rsidRPr="00200AE6" w:rsidP="00200AE6">
      <w:pPr>
        <w:pStyle w:val="Heading1"/>
      </w:pPr>
      <w:bookmarkStart w:id="2" w:name="O_948813"/>
      <w:bookmarkEnd w:id="2"/>
      <w:r w:rsidRPr="00200AE6">
        <w:t>Application</w:t>
      </w:r>
    </w:p>
    <w:p w:rsidR="00000000" w:rsidRPr="00200AE6" w:rsidP="00A750F6">
      <w:pPr>
        <w:pStyle w:val="BodyText"/>
      </w:pPr>
      <w:r w:rsidRPr="00200AE6">
        <w:t>This unit of competency defines the skills and knowledge required to use hammer and power hammer tools and formers, apply hammer f</w:t>
      </w:r>
      <w:r w:rsidRPr="00200AE6">
        <w:t>orging techniques and operate heating devices.</w:t>
      </w:r>
    </w:p>
    <w:p w:rsidR="00000000" w:rsidRPr="00200AE6" w:rsidP="00A750F6">
      <w:pPr>
        <w:pStyle w:val="BodyText"/>
      </w:pPr>
      <w:r w:rsidRPr="00200AE6">
        <w:t>Equipment used does not include drop and upset machinery, vacuum furnaces or rolling and extruding mill machinery.</w:t>
      </w:r>
    </w:p>
    <w:p w:rsidR="00000000" w:rsidRPr="00200AE6" w:rsidP="00A750F6">
      <w:pPr>
        <w:pStyle w:val="BodyText"/>
      </w:pPr>
      <w:r w:rsidRPr="00200AE6">
        <w:t>Where the interpretation of technical drawings is required unit MEM09002 Interpret technical</w:t>
      </w:r>
      <w:r w:rsidRPr="00200AE6">
        <w:t xml:space="preserve"> drawing should also be selected.</w:t>
      </w:r>
    </w:p>
    <w:p w:rsidR="00000000" w:rsidRPr="00200AE6" w:rsidP="00A750F6">
      <w:pPr>
        <w:pStyle w:val="BodyText"/>
      </w:pPr>
      <w:r w:rsidRPr="00200AE6">
        <w:t>Where the selection and use of engineering measurement is required unit MEM12023 Perform engineering measurements should also be selected.</w:t>
      </w:r>
    </w:p>
    <w:p w:rsidR="00000000" w:rsidRPr="00200AE6" w:rsidP="00A750F6">
      <w:pPr>
        <w:pStyle w:val="BodyText"/>
      </w:pPr>
      <w:r w:rsidRPr="00200AE6">
        <w:t>Where the selection and use of tools is required unit MEM18001 Use hand tools and</w:t>
      </w:r>
      <w:r w:rsidRPr="00200AE6">
        <w:t xml:space="preserve"> unit MEM18002 Use power tools/hand held operations, should also be selected as appropriate.</w:t>
      </w:r>
    </w:p>
    <w:p w:rsidR="00000000" w:rsidRPr="00200AE6" w:rsidP="00A750F6">
      <w:pPr>
        <w:pStyle w:val="BodyText"/>
      </w:pPr>
      <w:r w:rsidRPr="00200AE6">
        <w:t>No licensing, legislative or certification requirements apply to this unit at the time of publication.</w:t>
      </w:r>
    </w:p>
    <w:p w:rsidR="00000000" w:rsidRPr="00200AE6" w:rsidP="00200AE6">
      <w:pPr>
        <w:pStyle w:val="BodyText"/>
      </w:pPr>
      <w:r w:rsidRPr="00200AE6">
        <w:rPr>
          <w:rStyle w:val="SpecialBold"/>
        </w:rPr>
        <w:t>Band:</w:t>
      </w:r>
      <w:r w:rsidRPr="00200AE6">
        <w:rPr>
          <w:rStyle w:val="SpecialBold"/>
        </w:rPr>
        <w:tab/>
        <w:t>A</w:t>
      </w:r>
    </w:p>
    <w:p w:rsidR="00000000" w:rsidRPr="00200AE6" w:rsidP="00200AE6">
      <w:pPr>
        <w:pStyle w:val="BodyText"/>
      </w:pPr>
      <w:r w:rsidRPr="00200AE6">
        <w:rPr>
          <w:rStyle w:val="SpecialBold"/>
        </w:rPr>
        <w:t>Unit Weight:</w:t>
      </w:r>
      <w:r w:rsidRPr="00200AE6">
        <w:rPr>
          <w:rStyle w:val="SpecialBold"/>
        </w:rPr>
        <w:tab/>
        <w:t>4</w:t>
      </w:r>
    </w:p>
    <w:p w:rsidR="00000000" w:rsidRPr="00200AE6" w:rsidP="00200AE6">
      <w:pPr>
        <w:pStyle w:val="AllowPageBreak"/>
      </w:pPr>
    </w:p>
    <w:p w:rsidR="00000000" w:rsidRPr="00200AE6" w:rsidP="00200AE6">
      <w:pPr>
        <w:pStyle w:val="Heading1"/>
      </w:pPr>
      <w:bookmarkStart w:id="3" w:name="O_948812"/>
      <w:bookmarkEnd w:id="3"/>
      <w:r w:rsidRPr="00200AE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MEM11011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Undertake manual handling</w:t>
            </w:r>
          </w:p>
        </w:tc>
      </w:tr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Work safely and effectively in manufacturing and engineering</w:t>
            </w:r>
          </w:p>
        </w:tc>
      </w:tr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E6" w:rsidP="00200AE6">
            <w:pPr>
              <w:pStyle w:val="BodyText"/>
            </w:pPr>
            <w:r w:rsidRPr="00200AE6">
              <w:t>Organise and communicate information</w:t>
            </w:r>
          </w:p>
        </w:tc>
      </w:tr>
    </w:tbl>
    <w:p w:rsidR="00000000" w:rsidRPr="00200AE6" w:rsidP="00200AE6">
      <w:pPr>
        <w:pStyle w:val="BodyText"/>
      </w:pPr>
    </w:p>
    <w:p w:rsidR="00000000" w:rsidRPr="00200AE6" w:rsidP="00200AE6">
      <w:pPr>
        <w:pStyle w:val="AllowPageBreak"/>
      </w:pPr>
    </w:p>
    <w:p w:rsidR="00000000" w:rsidRPr="00200AE6" w:rsidP="00200AE6">
      <w:pPr>
        <w:pStyle w:val="Heading1"/>
      </w:pPr>
      <w:bookmarkStart w:id="4" w:name="O_948811"/>
      <w:bookmarkEnd w:id="4"/>
      <w:r w:rsidRPr="00200AE6">
        <w:t>Competency Field</w:t>
      </w:r>
    </w:p>
    <w:p w:rsidR="00000000" w:rsidRPr="00200AE6" w:rsidP="00A750F6">
      <w:pPr>
        <w:pStyle w:val="BodyText"/>
      </w:pPr>
      <w:r w:rsidRPr="00200AE6">
        <w:t>Forging</w:t>
      </w:r>
    </w:p>
    <w:p w:rsidR="00000000" w:rsidRPr="00200AE6" w:rsidP="00200AE6">
      <w:pPr>
        <w:pStyle w:val="Heading1"/>
      </w:pPr>
      <w:bookmarkStart w:id="5" w:name="O_948809"/>
      <w:bookmarkEnd w:id="5"/>
      <w:r w:rsidRPr="00200A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Performance criteria describe the performance needed to demonstrate achievement of the element.</w:t>
            </w:r>
          </w:p>
        </w:tc>
      </w:tr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E6" w:rsidP="00200AE6">
            <w:pPr>
              <w:pStyle w:val="BodyText"/>
            </w:pPr>
            <w:r w:rsidRPr="00200AE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Follow standard operating procedures (SOPs)</w:t>
            </w:r>
          </w:p>
        </w:tc>
      </w:tr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Comply with work health and safety (WHS) requirements at all times</w:t>
            </w:r>
          </w:p>
        </w:tc>
      </w:tr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Use appropriate personal protective equipment (PPE) in accordance with SOPs</w:t>
            </w:r>
          </w:p>
        </w:tc>
      </w:tr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Identify job requirements from specifications, sketches, job sheets or work instructions</w:t>
            </w:r>
          </w:p>
        </w:tc>
      </w:tr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</w:p>
        </w:tc>
      </w:tr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E6" w:rsidP="00200AE6">
            <w:pPr>
              <w:pStyle w:val="BodyText"/>
            </w:pPr>
            <w:r w:rsidRPr="00200AE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rPr>
                <w:rStyle w:val="SpecialBold"/>
              </w:rPr>
              <w:t>Select material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Select material for use with specific tools and formers</w:t>
            </w:r>
          </w:p>
        </w:tc>
      </w:tr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Make material calculations using volumes and weights that include provision for thermal expansion/contraction, oxidisation and shrinkage</w:t>
            </w:r>
          </w:p>
        </w:tc>
      </w:tr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</w:p>
        </w:tc>
      </w:tr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E6" w:rsidP="00200AE6">
            <w:pPr>
              <w:pStyle w:val="BodyText"/>
            </w:pPr>
            <w:r w:rsidRPr="00200AE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rPr>
                <w:rStyle w:val="SpecialBold"/>
              </w:rPr>
              <w:t>Use hammer tools and formers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Select and use hammer tools and formers for specific forging techniques</w:t>
            </w:r>
          </w:p>
        </w:tc>
      </w:tr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 xml:space="preserve">Set up and operate forging machine  </w:t>
            </w:r>
          </w:p>
        </w:tc>
      </w:tr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</w:p>
        </w:tc>
      </w:tr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E6" w:rsidP="00200AE6">
            <w:pPr>
              <w:pStyle w:val="BodyText"/>
            </w:pPr>
            <w:r w:rsidRPr="00200AE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rPr>
                <w:rStyle w:val="SpecialBold"/>
              </w:rPr>
              <w:t>Apply hammer forging techniques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 xml:space="preserve">Select and apply appropriate hammer forging technique </w:t>
            </w:r>
          </w:p>
        </w:tc>
      </w:tr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Recognised defects and take appropriate action for rectification</w:t>
            </w:r>
          </w:p>
        </w:tc>
      </w:tr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Apply correct techniques to the handling of hot metal with regard to balancing and pivoting</w:t>
            </w:r>
          </w:p>
        </w:tc>
      </w:tr>
      <w:tr w:rsidTr="00200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E6" w:rsidP="00200AE6">
            <w:pPr>
              <w:pStyle w:val="BodyText"/>
            </w:pPr>
            <w:r w:rsidRPr="00200AE6">
              <w:t>Apply the correct heating process</w:t>
            </w:r>
          </w:p>
        </w:tc>
      </w:tr>
    </w:tbl>
    <w:p w:rsidR="00000000" w:rsidRPr="00200AE6" w:rsidP="00200AE6">
      <w:pPr>
        <w:pStyle w:val="BodyText"/>
      </w:pPr>
    </w:p>
    <w:p w:rsidR="00000000" w:rsidRPr="00200AE6" w:rsidP="00200AE6">
      <w:pPr>
        <w:pStyle w:val="AllowPageBreak"/>
      </w:pPr>
    </w:p>
    <w:p w:rsidR="00000000" w:rsidRPr="00200AE6" w:rsidP="00200AE6">
      <w:pPr>
        <w:pStyle w:val="Heading1"/>
      </w:pPr>
      <w:bookmarkStart w:id="6" w:name="O_948808"/>
      <w:bookmarkEnd w:id="6"/>
      <w:r w:rsidRPr="00200AE6">
        <w:t>Foundation Skills</w:t>
      </w:r>
    </w:p>
    <w:p w:rsidR="00000000" w:rsidRPr="00200AE6" w:rsidP="00A750F6">
      <w:pPr>
        <w:pStyle w:val="BodyText"/>
      </w:pPr>
      <w:r w:rsidRPr="00200AE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00AE6" w:rsidP="00A750F6">
      <w:pPr>
        <w:pStyle w:val="BodyText"/>
      </w:pPr>
      <w:r w:rsidRPr="00200AE6">
        <w:t xml:space="preserve">Foundation skills essential to performance are explicit in the performance criteria </w:t>
      </w:r>
      <w:r w:rsidRPr="00200AE6">
        <w:t>of this unit of competency.</w:t>
      </w:r>
    </w:p>
    <w:p w:rsidR="00000000" w:rsidRPr="00200AE6" w:rsidP="00200AE6">
      <w:pPr>
        <w:pStyle w:val="Heading1"/>
      </w:pPr>
      <w:bookmarkStart w:id="7" w:name="O_948807"/>
      <w:bookmarkEnd w:id="7"/>
      <w:r w:rsidRPr="00200AE6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200AE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t>This field allows for different work environments and conditions that may affect performance. Essential operating conditions that may be present (depending on the work situation, accessibilit</w:t>
            </w:r>
            <w:r w:rsidRPr="00200AE6">
              <w:t>y of the item, and local industry and regional contexts) are included.</w:t>
            </w:r>
          </w:p>
        </w:tc>
      </w:tr>
      <w:tr w:rsidTr="00200AE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E6" w:rsidP="00200AE6">
            <w:pPr>
              <w:pStyle w:val="ListBullet"/>
            </w:pPr>
            <w:r w:rsidRPr="00200AE6">
              <w:t>low/high carbon steels</w:t>
            </w:r>
          </w:p>
          <w:p w:rsidR="00000000" w:rsidRPr="00200AE6" w:rsidP="00200AE6">
            <w:pPr>
              <w:pStyle w:val="ListBullet"/>
            </w:pPr>
            <w:r w:rsidRPr="00200AE6">
              <w:t>alloys</w:t>
            </w:r>
          </w:p>
          <w:p w:rsidR="00000000" w:rsidRPr="00200AE6" w:rsidP="00200AE6">
            <w:pPr>
              <w:pStyle w:val="ListBullet"/>
            </w:pPr>
            <w:r w:rsidRPr="00200AE6">
              <w:t>stainless steel</w:t>
            </w:r>
          </w:p>
          <w:p w:rsidR="00000000" w:rsidRPr="00200AE6" w:rsidP="00200AE6">
            <w:pPr>
              <w:pStyle w:val="ListBullet"/>
            </w:pPr>
            <w:r w:rsidRPr="00200AE6">
              <w:t>lead</w:t>
            </w:r>
          </w:p>
          <w:p w:rsidR="00000000" w:rsidP="00200AE6">
            <w:pPr>
              <w:pStyle w:val="BodyText"/>
              <w:rPr>
                <w:lang w:val="en-NZ"/>
              </w:rPr>
            </w:pPr>
          </w:p>
        </w:tc>
      </w:tr>
      <w:tr w:rsidTr="00200AE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rPr>
                <w:rStyle w:val="SpecialBold"/>
              </w:rPr>
              <w:t>Material calculations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E6" w:rsidP="00200AE6">
            <w:pPr>
              <w:pStyle w:val="ListBullet"/>
            </w:pPr>
            <w:r w:rsidRPr="00200AE6">
              <w:t>thermal expansion/contraction</w:t>
            </w:r>
          </w:p>
          <w:p w:rsidR="00000000" w:rsidRPr="00200AE6" w:rsidP="00200AE6">
            <w:pPr>
              <w:pStyle w:val="ListBullet"/>
            </w:pPr>
            <w:r w:rsidRPr="00200AE6">
              <w:t>material wastage</w:t>
            </w:r>
          </w:p>
          <w:p w:rsidR="00000000" w:rsidP="00200AE6">
            <w:pPr>
              <w:pStyle w:val="BodyText"/>
              <w:rPr>
                <w:lang w:val="en-NZ"/>
              </w:rPr>
            </w:pPr>
          </w:p>
        </w:tc>
      </w:tr>
      <w:tr w:rsidTr="00200AE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rPr>
                <w:rStyle w:val="SpecialBold"/>
              </w:rPr>
              <w:t>Hammer tools and formers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E6" w:rsidP="00200AE6">
            <w:pPr>
              <w:pStyle w:val="ListBullet"/>
            </w:pPr>
            <w:r w:rsidRPr="00200AE6">
              <w:t>flatters</w:t>
            </w:r>
          </w:p>
          <w:p w:rsidR="00000000" w:rsidRPr="00200AE6" w:rsidP="00200AE6">
            <w:pPr>
              <w:pStyle w:val="ListBullet"/>
            </w:pPr>
            <w:r w:rsidRPr="00200AE6">
              <w:t>set hammers</w:t>
            </w:r>
          </w:p>
          <w:p w:rsidR="00000000" w:rsidRPr="00200AE6" w:rsidP="00200AE6">
            <w:pPr>
              <w:pStyle w:val="ListBullet"/>
            </w:pPr>
            <w:r w:rsidRPr="00200AE6">
              <w:t>hot/cold sets</w:t>
            </w:r>
          </w:p>
          <w:p w:rsidR="00000000" w:rsidRPr="00200AE6" w:rsidP="00200AE6">
            <w:pPr>
              <w:pStyle w:val="ListBullet"/>
            </w:pPr>
            <w:r w:rsidRPr="00200AE6">
              <w:t>ball peen hammer</w:t>
            </w:r>
          </w:p>
          <w:p w:rsidR="00000000" w:rsidRPr="00200AE6" w:rsidP="00200AE6">
            <w:pPr>
              <w:pStyle w:val="ListBullet"/>
            </w:pPr>
            <w:r w:rsidRPr="00200AE6">
              <w:t>swages</w:t>
            </w:r>
          </w:p>
          <w:p w:rsidR="00000000" w:rsidP="00200AE6">
            <w:pPr>
              <w:pStyle w:val="BodyText"/>
              <w:rPr>
                <w:lang w:val="en-NZ"/>
              </w:rPr>
            </w:pPr>
          </w:p>
        </w:tc>
      </w:tr>
      <w:tr w:rsidTr="00200AE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E6" w:rsidP="00200AE6">
            <w:pPr>
              <w:pStyle w:val="ListBullet"/>
            </w:pPr>
            <w:r w:rsidRPr="00200AE6">
              <w:t>galls</w:t>
            </w:r>
          </w:p>
          <w:p w:rsidR="00000000" w:rsidRPr="00200AE6" w:rsidP="00200AE6">
            <w:pPr>
              <w:pStyle w:val="ListBullet"/>
            </w:pPr>
            <w:r w:rsidRPr="00200AE6">
              <w:t>fins</w:t>
            </w:r>
          </w:p>
          <w:p w:rsidR="00000000" w:rsidRPr="00200AE6" w:rsidP="00200AE6">
            <w:pPr>
              <w:pStyle w:val="ListBullet"/>
            </w:pPr>
            <w:r w:rsidRPr="00200AE6">
              <w:t>shrinkage</w:t>
            </w:r>
          </w:p>
          <w:p w:rsidR="00000000" w:rsidRPr="00200AE6" w:rsidP="00200AE6">
            <w:pPr>
              <w:pStyle w:val="ListBullet"/>
            </w:pPr>
            <w:r w:rsidRPr="00200AE6">
              <w:t>oxidisation</w:t>
            </w:r>
          </w:p>
          <w:p w:rsidR="00000000" w:rsidP="00200AE6">
            <w:pPr>
              <w:pStyle w:val="BodyText"/>
              <w:rPr>
                <w:lang w:val="en-NZ"/>
              </w:rPr>
            </w:pPr>
          </w:p>
        </w:tc>
      </w:tr>
      <w:tr w:rsidTr="00200AE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E6">
            <w:pPr>
              <w:pStyle w:val="BodyText"/>
              <w:rPr>
                <w:lang w:val="en-NZ"/>
              </w:rPr>
            </w:pPr>
            <w:r w:rsidRPr="00200AE6">
              <w:rPr>
                <w:rStyle w:val="SpecialBold"/>
              </w:rPr>
              <w:t>Heating process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E6" w:rsidP="00200AE6">
            <w:pPr>
              <w:pStyle w:val="ListBullet"/>
            </w:pPr>
            <w:r w:rsidRPr="00200AE6">
              <w:t>diesel</w:t>
            </w:r>
          </w:p>
          <w:p w:rsidR="00000000" w:rsidRPr="00200AE6" w:rsidP="00200AE6">
            <w:pPr>
              <w:pStyle w:val="ListBullet"/>
            </w:pPr>
            <w:r w:rsidRPr="00200AE6">
              <w:t>electric and gas furnaces</w:t>
            </w:r>
          </w:p>
          <w:p w:rsidR="00000000" w:rsidRPr="00200AE6" w:rsidP="00200AE6">
            <w:pPr>
              <w:pStyle w:val="ListBullet"/>
            </w:pPr>
            <w:r w:rsidRPr="00200AE6">
              <w:t xml:space="preserve">coke fires </w:t>
            </w:r>
          </w:p>
          <w:p w:rsidR="00000000" w:rsidRPr="00200AE6" w:rsidP="00200AE6">
            <w:pPr>
              <w:pStyle w:val="ListBullet"/>
            </w:pPr>
            <w:r w:rsidRPr="00200AE6">
              <w:t>gaseous oxygen/fuel equipment</w:t>
            </w:r>
          </w:p>
        </w:tc>
      </w:tr>
    </w:tbl>
    <w:p w:rsidR="00000000" w:rsidRPr="00200AE6" w:rsidP="00200AE6">
      <w:pPr>
        <w:pStyle w:val="BodyText"/>
      </w:pPr>
    </w:p>
    <w:p w:rsidR="00000000" w:rsidRPr="00200AE6" w:rsidP="00200AE6">
      <w:pPr>
        <w:pStyle w:val="AllowPageBreak"/>
      </w:pPr>
    </w:p>
    <w:p w:rsidR="00000000" w:rsidRPr="00200AE6" w:rsidP="00200AE6">
      <w:pPr>
        <w:pStyle w:val="Heading1"/>
      </w:pPr>
      <w:bookmarkStart w:id="8" w:name="O_948806"/>
      <w:bookmarkEnd w:id="8"/>
      <w:r w:rsidRPr="00200AE6">
        <w:t>Unit Mapping Information</w:t>
      </w:r>
    </w:p>
    <w:p w:rsidR="00000000" w:rsidRPr="00200AE6" w:rsidP="00A750F6">
      <w:pPr>
        <w:pStyle w:val="BodyText"/>
      </w:pPr>
      <w:r w:rsidRPr="00200AE6">
        <w:t>Release 1. Supersedes and is equivalent to MEM06002B Perform hammer forging</w:t>
      </w:r>
    </w:p>
    <w:p w:rsidR="00000000" w:rsidRPr="00200AE6" w:rsidP="00200AE6">
      <w:pPr>
        <w:pStyle w:val="Heading1"/>
      </w:pPr>
      <w:bookmarkStart w:id="9" w:name="O_948799"/>
      <w:bookmarkEnd w:id="9"/>
      <w:r w:rsidRPr="00200AE6">
        <w:t>Links</w:t>
      </w:r>
    </w:p>
    <w:p w:rsidR="00000000" w:rsidRPr="00200AE6" w:rsidP="00A750F6">
      <w:pPr>
        <w:pStyle w:val="BodyText"/>
      </w:pPr>
      <w:r w:rsidRPr="00200A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24F7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00AE6" w:rsidP="00200AE6"/>
    <w:sectPr w:rsidSect="00200A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E6" w:rsidRPr="00A750F6" w:rsidP="00A750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F6" w:rsidP="00200A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50F6" w:rsidP="00200A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50F6" w:rsidP="00200A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AE6" w:rsidRPr="00A750F6" w:rsidP="00A750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F6" w:rsidRPr="002D2AF8" w:rsidP="00200A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MEM06002 Perform hammer forging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750F6" w:rsidP="00200A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DA7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30C4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A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A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A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A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A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A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A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A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A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A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A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AE6"/>
  </w:style>
  <w:style w:type="character" w:customStyle="1" w:styleId="Heading1Char">
    <w:name w:val="Heading 1 Char"/>
    <w:basedOn w:val="DefaultParagraphFont"/>
    <w:link w:val="Heading1"/>
    <w:rsid w:val="00200A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A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A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A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AE6"/>
    <w:rPr>
      <w:b/>
      <w:spacing w:val="0"/>
    </w:rPr>
  </w:style>
  <w:style w:type="paragraph" w:customStyle="1" w:styleId="SuperHeading">
    <w:name w:val="SuperHeading"/>
    <w:basedOn w:val="Normal"/>
    <w:rsid w:val="00200A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A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A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A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A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A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A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A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A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A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A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A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A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A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A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A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A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A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A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A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A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A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A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A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A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A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A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A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A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A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A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AE6"/>
    <w:rPr>
      <w:i/>
    </w:rPr>
  </w:style>
  <w:style w:type="paragraph" w:styleId="Caption">
    <w:name w:val="caption"/>
    <w:basedOn w:val="BodyText"/>
    <w:next w:val="Normal"/>
    <w:qFormat/>
    <w:rsid w:val="00200A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A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A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AE6"/>
  </w:style>
  <w:style w:type="paragraph" w:styleId="TableofFigures">
    <w:name w:val="table of figures"/>
    <w:basedOn w:val="Normal"/>
    <w:next w:val="Normal"/>
    <w:semiHidden/>
    <w:rsid w:val="00200A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A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AE6"/>
    <w:rPr>
      <w:rFonts w:ascii="Wingdings" w:hAnsi="Wingdings"/>
    </w:rPr>
  </w:style>
  <w:style w:type="paragraph" w:customStyle="1" w:styleId="TableHeading">
    <w:name w:val="Table Heading"/>
    <w:basedOn w:val="HeadingBase"/>
    <w:rsid w:val="00200A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AE6"/>
    <w:rPr>
      <w:color w:val="0033CC"/>
      <w:u w:val="none"/>
    </w:rPr>
  </w:style>
  <w:style w:type="paragraph" w:customStyle="1" w:styleId="BodyTextRight">
    <w:name w:val="Body Text Right"/>
    <w:basedOn w:val="BodyText"/>
    <w:rsid w:val="00200A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A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A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A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A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A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AE6"/>
    <w:rPr>
      <w:sz w:val="32"/>
    </w:rPr>
  </w:style>
  <w:style w:type="paragraph" w:customStyle="1" w:styleId="HeadingProcedure">
    <w:name w:val="Heading Procedure"/>
    <w:basedOn w:val="HeadingBase"/>
    <w:next w:val="Normal"/>
    <w:rsid w:val="00200A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AE6"/>
    <w:pPr>
      <w:spacing w:before="60" w:after="60"/>
    </w:pPr>
  </w:style>
  <w:style w:type="paragraph" w:styleId="ListContinue">
    <w:name w:val="List Continue"/>
    <w:basedOn w:val="List"/>
    <w:rsid w:val="00200AE6"/>
    <w:pPr>
      <w:ind w:firstLine="0"/>
    </w:pPr>
  </w:style>
  <w:style w:type="paragraph" w:customStyle="1" w:styleId="ListNote">
    <w:name w:val="List Note"/>
    <w:basedOn w:val="List"/>
    <w:rsid w:val="00200A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A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A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AE6"/>
    <w:rPr>
      <w:rFonts w:ascii="Courier New" w:hAnsi="Courier New"/>
    </w:rPr>
  </w:style>
  <w:style w:type="paragraph" w:customStyle="1" w:styleId="NoteBullet">
    <w:name w:val="Note Bullet"/>
    <w:basedOn w:val="Note"/>
    <w:rsid w:val="00200A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A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A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A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A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A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A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AE6"/>
    <w:rPr>
      <w:b/>
      <w:smallCaps/>
    </w:rPr>
  </w:style>
  <w:style w:type="paragraph" w:customStyle="1" w:styleId="TableListNumber">
    <w:name w:val="Table List Number"/>
    <w:basedOn w:val="ListNumber"/>
    <w:rsid w:val="00200A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A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AE6"/>
    <w:pPr>
      <w:numPr>
        <w:numId w:val="8"/>
      </w:numPr>
    </w:pPr>
  </w:style>
  <w:style w:type="paragraph" w:customStyle="1" w:styleId="ListAlpha2">
    <w:name w:val="List Alpha 2"/>
    <w:basedOn w:val="List2"/>
    <w:rsid w:val="00200AE6"/>
    <w:pPr>
      <w:numPr>
        <w:numId w:val="7"/>
      </w:numPr>
    </w:pPr>
  </w:style>
  <w:style w:type="paragraph" w:styleId="List2">
    <w:name w:val="List 2"/>
    <w:basedOn w:val="BodyText"/>
    <w:rsid w:val="00200A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A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A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A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A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A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AE6"/>
    <w:pPr>
      <w:numPr>
        <w:numId w:val="3"/>
      </w:numPr>
    </w:pPr>
  </w:style>
  <w:style w:type="paragraph" w:styleId="ListContinue2">
    <w:name w:val="List Continue 2"/>
    <w:basedOn w:val="List2"/>
    <w:rsid w:val="00200AE6"/>
    <w:pPr>
      <w:ind w:firstLine="0"/>
    </w:pPr>
  </w:style>
  <w:style w:type="paragraph" w:styleId="ListContinue3">
    <w:name w:val="List Continue 3"/>
    <w:basedOn w:val="List3"/>
    <w:rsid w:val="00200AE6"/>
    <w:pPr>
      <w:ind w:left="1021" w:firstLine="0"/>
    </w:pPr>
  </w:style>
  <w:style w:type="paragraph" w:styleId="ListContinue4">
    <w:name w:val="List Continue 4"/>
    <w:basedOn w:val="List4"/>
    <w:rsid w:val="00200AE6"/>
    <w:pPr>
      <w:ind w:firstLine="0"/>
    </w:pPr>
  </w:style>
  <w:style w:type="paragraph" w:styleId="ListContinue5">
    <w:name w:val="List Continue 5"/>
    <w:basedOn w:val="List5"/>
    <w:rsid w:val="00200AE6"/>
    <w:pPr>
      <w:ind w:firstLine="0"/>
    </w:pPr>
  </w:style>
  <w:style w:type="paragraph" w:styleId="ListNumber3">
    <w:name w:val="List Number 3"/>
    <w:basedOn w:val="List3"/>
    <w:rsid w:val="00200AE6"/>
    <w:pPr>
      <w:numPr>
        <w:numId w:val="4"/>
      </w:numPr>
    </w:pPr>
  </w:style>
  <w:style w:type="paragraph" w:styleId="ListNumber4">
    <w:name w:val="List Number 4"/>
    <w:basedOn w:val="List4"/>
    <w:rsid w:val="00200AE6"/>
    <w:pPr>
      <w:numPr>
        <w:numId w:val="5"/>
      </w:numPr>
    </w:pPr>
  </w:style>
  <w:style w:type="paragraph" w:styleId="ListNumber5">
    <w:name w:val="List Number 5"/>
    <w:basedOn w:val="List5"/>
    <w:rsid w:val="00200AE6"/>
    <w:pPr>
      <w:numPr>
        <w:numId w:val="6"/>
      </w:numPr>
    </w:pPr>
  </w:style>
  <w:style w:type="paragraph" w:styleId="BlockText">
    <w:name w:val="Block Text"/>
    <w:basedOn w:val="Normal"/>
    <w:rsid w:val="00200A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A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AE6"/>
    <w:rPr>
      <w:sz w:val="16"/>
      <w:vertAlign w:val="superscript"/>
    </w:rPr>
  </w:style>
  <w:style w:type="character" w:customStyle="1" w:styleId="Symbols">
    <w:name w:val="Symbols"/>
    <w:basedOn w:val="DefaultParagraphFont"/>
    <w:rsid w:val="00200AE6"/>
    <w:rPr>
      <w:rFonts w:ascii="Symbol" w:hAnsi="Symbol"/>
    </w:rPr>
  </w:style>
  <w:style w:type="character" w:customStyle="1" w:styleId="MenuOptions">
    <w:name w:val="Menu Options"/>
    <w:basedOn w:val="DefaultParagraphFont"/>
    <w:rsid w:val="00200A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AE6"/>
    <w:rPr>
      <w:b/>
    </w:rPr>
  </w:style>
  <w:style w:type="character" w:customStyle="1" w:styleId="Underlined">
    <w:name w:val="Underlined"/>
    <w:basedOn w:val="DefaultParagraphFont"/>
    <w:rsid w:val="00200AE6"/>
    <w:rPr>
      <w:u w:val="single"/>
    </w:rPr>
  </w:style>
  <w:style w:type="paragraph" w:customStyle="1" w:styleId="TableBodyTextRight">
    <w:name w:val="Table Body Text Right"/>
    <w:basedOn w:val="TableBodyText"/>
    <w:rsid w:val="00200A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AE6"/>
    <w:rPr>
      <w:sz w:val="18"/>
    </w:rPr>
  </w:style>
  <w:style w:type="paragraph" w:customStyle="1" w:styleId="BodySmallRight">
    <w:name w:val="Body Small Right"/>
    <w:basedOn w:val="BodyTextRight"/>
    <w:rsid w:val="00200AE6"/>
    <w:rPr>
      <w:sz w:val="18"/>
      <w:szCs w:val="18"/>
    </w:rPr>
  </w:style>
  <w:style w:type="paragraph" w:customStyle="1" w:styleId="MarginEdition">
    <w:name w:val="Margin Edition"/>
    <w:basedOn w:val="MarginNote"/>
    <w:rsid w:val="00200A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AE6"/>
    <w:rPr>
      <w:sz w:val="2"/>
      <w:szCs w:val="2"/>
    </w:rPr>
  </w:style>
  <w:style w:type="character" w:customStyle="1" w:styleId="Small">
    <w:name w:val="Small"/>
    <w:basedOn w:val="DefaultParagraphFont"/>
    <w:rsid w:val="00200AE6"/>
    <w:rPr>
      <w:sz w:val="16"/>
    </w:rPr>
  </w:style>
  <w:style w:type="paragraph" w:customStyle="1" w:styleId="WideTable">
    <w:name w:val="Wide Table"/>
    <w:basedOn w:val="Normal"/>
    <w:rsid w:val="00200A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AE6"/>
  </w:style>
  <w:style w:type="paragraph" w:styleId="Quote">
    <w:name w:val="Quote"/>
    <w:basedOn w:val="Heading1"/>
    <w:link w:val="QuoteChar"/>
    <w:qFormat/>
    <w:rsid w:val="00200A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A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AE6"/>
    <w:pPr>
      <w:pageBreakBefore/>
    </w:pPr>
  </w:style>
  <w:style w:type="paragraph" w:customStyle="1" w:styleId="Border">
    <w:name w:val="Border"/>
    <w:basedOn w:val="Normal"/>
    <w:qFormat/>
    <w:rsid w:val="00200A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A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A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A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A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A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A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A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A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AE6"/>
    <w:rPr>
      <w:u w:val="single"/>
    </w:rPr>
  </w:style>
  <w:style w:type="character" w:customStyle="1" w:styleId="BoldandItalics">
    <w:name w:val="Bold and Italics"/>
    <w:qFormat/>
    <w:rsid w:val="00200AE6"/>
    <w:rPr>
      <w:b/>
      <w:i/>
      <w:u w:val="none"/>
    </w:rPr>
  </w:style>
  <w:style w:type="paragraph" w:styleId="BalloonText">
    <w:name w:val="Balloon Text"/>
    <w:basedOn w:val="Normal"/>
    <w:link w:val="BalloonTextChar"/>
    <w:rsid w:val="00200A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A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A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A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A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A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AE6"/>
    <w:pPr>
      <w:spacing w:before="0" w:after="0"/>
    </w:pPr>
  </w:style>
  <w:style w:type="paragraph" w:customStyle="1" w:styleId="BodyTextBold">
    <w:name w:val="Body Text Bold"/>
    <w:basedOn w:val="BodyText"/>
    <w:qFormat/>
    <w:rsid w:val="00200AE6"/>
    <w:rPr>
      <w:b/>
    </w:rPr>
  </w:style>
  <w:style w:type="character" w:styleId="Hyperlink">
    <w:name w:val="Hyperlink"/>
    <w:basedOn w:val="DefaultParagraphFont"/>
    <w:uiPriority w:val="99"/>
    <w:unhideWhenUsed/>
    <w:rsid w:val="00A750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3451</Characters>
  <Application>Microsoft Office Word</Application>
  <DocSecurity>0</DocSecurity>
  <Lines>181</Lines>
  <Paragraphs>111</Paragraphs>
  <ScaleCrop>false</ScaleCrop>
  <Company>Author-it Software Corporation Ltd.</Company>
  <LinksUpToDate>false</LinksUpToDate>
  <CharactersWithSpaces>3900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MEM06002 Perform hammer forging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2023-02-03T06:34:00Z</dcterms:created>
  <dcterms:modified xsi:type="dcterms:W3CDTF">2023-02-03T06:34:00Z</dcterms:modified>
</cp:coreProperties>
</file>