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0D7" w:rsidP="00DA6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MEM05096 Weld using flux core arc welding process</w:t>
      </w:r>
      <w:r>
        <w:fldChar w:fldCharType="end"/>
      </w:r>
    </w:p>
    <w:p w:rsidR="00DA60D7" w:rsidP="00DA60D7">
      <w:pPr>
        <w:pStyle w:val="Version"/>
        <w:sectPr w:rsidSect="00AD1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063" w:rsidP="00AD1063">
      <w:pPr>
        <w:pStyle w:val="SuperHeading"/>
      </w:pPr>
      <w:r w:rsidRPr="00AD1063">
        <w:t>MEM05096 Weld using flux core arc welding process</w:t>
      </w:r>
    </w:p>
    <w:p w:rsidR="00000000" w:rsidRPr="00AD1063" w:rsidP="00AD1063">
      <w:pPr>
        <w:pStyle w:val="Heading1"/>
      </w:pPr>
      <w:bookmarkStart w:id="1" w:name="O_1270959"/>
      <w:bookmarkEnd w:id="1"/>
      <w:r w:rsidRPr="00AD1063">
        <w:t>Modification History</w:t>
      </w:r>
    </w:p>
    <w:p w:rsidR="00DA60D7" w:rsidP="00DA60D7">
      <w:pPr>
        <w:pStyle w:val="BodyText"/>
      </w:pPr>
      <w:r w:rsidRPr="00AD1063">
        <w:t xml:space="preserve">Release 1. Supersedes and is equivalent to MEM05047 Weld using flux core arc welding process. </w:t>
      </w:r>
    </w:p>
    <w:p w:rsidR="00000000" w:rsidRPr="00AD1063" w:rsidP="00AD1063">
      <w:pPr>
        <w:pStyle w:val="Heading1"/>
      </w:pPr>
      <w:bookmarkStart w:id="2" w:name="O_1270960"/>
      <w:bookmarkEnd w:id="2"/>
      <w:r w:rsidRPr="00AD1063">
        <w:t>Application</w:t>
      </w:r>
    </w:p>
    <w:p w:rsidR="00000000" w:rsidRPr="00AD1063" w:rsidP="00DA60D7">
      <w:pPr>
        <w:pStyle w:val="BodyText"/>
      </w:pPr>
      <w:r w:rsidRPr="00AD1063">
        <w:t xml:space="preserve">This unit of competency defines the skills and knowledge required to perform flux core arc welding </w:t>
      </w:r>
      <w:r w:rsidRPr="00AD1063">
        <w:t>(FCAW) on heavy or light metal fabrications.</w:t>
      </w:r>
    </w:p>
    <w:p w:rsidR="00000000" w:rsidRPr="00AD1063" w:rsidP="00DA60D7">
      <w:pPr>
        <w:pStyle w:val="BodyText"/>
      </w:pPr>
      <w:r w:rsidRPr="00AD1063">
        <w:t>Weld quality must conform to AS 1554 General Purpose (GP) and American Bureau of Shipping (ABS) or equivalent.</w:t>
      </w:r>
    </w:p>
    <w:p w:rsidR="00000000" w:rsidRPr="00AD1063" w:rsidP="00DA60D7">
      <w:pPr>
        <w:pStyle w:val="BodyText"/>
      </w:pPr>
      <w:r w:rsidRPr="00AD1063">
        <w:t>Where the interpretation of technical drawings is required, the unit MEM09002 Interpret technical dr</w:t>
      </w:r>
      <w:r w:rsidRPr="00AD1063">
        <w:t>awing must also be selected.</w:t>
      </w:r>
    </w:p>
    <w:p w:rsidR="00000000" w:rsidRPr="00AD1063" w:rsidP="00DA60D7">
      <w:pPr>
        <w:pStyle w:val="BodyText"/>
      </w:pPr>
      <w:r w:rsidRPr="00AD1063">
        <w:t>Where thermal processes, hand and/or power tools are required the appropriate specialisation units must also be selected.</w:t>
      </w:r>
    </w:p>
    <w:p w:rsidR="00000000" w:rsidRPr="00AD1063" w:rsidP="00DA60D7">
      <w:pPr>
        <w:pStyle w:val="BodyText"/>
      </w:pPr>
      <w:r w:rsidRPr="00AD1063">
        <w:t>No licensing, legislative or certification requirements apply to this unit at the time of publication.</w:t>
      </w:r>
    </w:p>
    <w:p w:rsidR="00000000" w:rsidRPr="00AD1063" w:rsidP="00DA60D7">
      <w:pPr>
        <w:pStyle w:val="Heading3"/>
      </w:pPr>
      <w:r w:rsidRPr="00AD1063">
        <w:rPr>
          <w:rStyle w:val="SpecialBold"/>
        </w:rPr>
        <w:t>Ba</w:t>
      </w:r>
      <w:r w:rsidRPr="00AD1063">
        <w:rPr>
          <w:rStyle w:val="SpecialBold"/>
        </w:rPr>
        <w:t>nd: A</w:t>
      </w:r>
    </w:p>
    <w:p w:rsidR="00DA60D7" w:rsidP="00DA60D7">
      <w:pPr>
        <w:pStyle w:val="Heading3"/>
      </w:pPr>
      <w:r w:rsidRPr="00AD1063">
        <w:rPr>
          <w:rStyle w:val="SpecialBold"/>
        </w:rPr>
        <w:t>Unit Weight: 4</w:t>
      </w:r>
    </w:p>
    <w:p w:rsidR="00000000" w:rsidRPr="00AD1063" w:rsidP="00AD1063">
      <w:pPr>
        <w:pStyle w:val="Heading1"/>
      </w:pPr>
      <w:bookmarkStart w:id="3" w:name="O_1270961"/>
      <w:bookmarkEnd w:id="3"/>
      <w:r w:rsidRPr="00AD1063">
        <w:t>Pre-requisite Unit</w:t>
      </w:r>
    </w:p>
    <w:p w:rsidR="00000000" w:rsidRPr="00AD1063" w:rsidP="00AD1063">
      <w:pPr>
        <w:pStyle w:val="BodyText"/>
      </w:pPr>
      <w:r w:rsidRPr="00AD1063">
        <w:t>MEM05052</w:t>
      </w:r>
      <w:r w:rsidRPr="00AD1063">
        <w:tab/>
        <w:t>Apply safe welding practices</w:t>
      </w:r>
    </w:p>
    <w:p w:rsidR="00000000" w:rsidRPr="00AD1063" w:rsidP="00AD1063">
      <w:pPr>
        <w:pStyle w:val="BodyText"/>
      </w:pPr>
      <w:r w:rsidRPr="00AD1063">
        <w:t>MEM05056</w:t>
      </w:r>
      <w:r w:rsidRPr="00AD1063">
        <w:tab/>
        <w:t>Perform routine flux core arc welding</w:t>
      </w:r>
    </w:p>
    <w:p w:rsidR="00000000" w:rsidRPr="00AD1063" w:rsidP="00AD1063">
      <w:pPr>
        <w:pStyle w:val="BodyText"/>
      </w:pPr>
      <w:r w:rsidRPr="00AD1063">
        <w:t>MEM05085</w:t>
      </w:r>
      <w:r w:rsidRPr="00AD1063">
        <w:tab/>
        <w:t>Select welding processes</w:t>
      </w:r>
    </w:p>
    <w:p w:rsidR="00000000" w:rsidRPr="00AD1063" w:rsidP="00AD1063">
      <w:pPr>
        <w:pStyle w:val="BodyText"/>
      </w:pPr>
      <w:r w:rsidRPr="00AD1063">
        <w:t>MEM11011</w:t>
      </w:r>
      <w:r w:rsidRPr="00AD1063">
        <w:tab/>
        <w:t>Undertake manual handling</w:t>
      </w:r>
    </w:p>
    <w:p w:rsidR="00000000" w:rsidRPr="00AD1063" w:rsidP="00AD1063">
      <w:pPr>
        <w:pStyle w:val="BodyText"/>
      </w:pPr>
      <w:r w:rsidRPr="00AD1063">
        <w:t>MEM12023</w:t>
      </w:r>
      <w:r w:rsidRPr="00AD1063">
        <w:tab/>
        <w:t>Perform engineering measurements</w:t>
      </w:r>
    </w:p>
    <w:p w:rsidR="00000000" w:rsidRPr="00AD1063" w:rsidP="00AD1063">
      <w:pPr>
        <w:pStyle w:val="BodyText"/>
      </w:pPr>
      <w:r w:rsidRPr="00AD1063">
        <w:t>MEM12024</w:t>
      </w:r>
      <w:r w:rsidRPr="00AD1063">
        <w:tab/>
        <w:t>Perform computations</w:t>
      </w:r>
    </w:p>
    <w:p w:rsidR="00000000" w:rsidRPr="00AD1063" w:rsidP="00AD1063">
      <w:pPr>
        <w:pStyle w:val="BodyText"/>
      </w:pPr>
      <w:r w:rsidRPr="00AD1063">
        <w:t>MEM13015</w:t>
      </w:r>
      <w:r w:rsidRPr="00AD1063">
        <w:tab/>
        <w:t>Work safely and effectively in manufacturing and engineering</w:t>
      </w:r>
    </w:p>
    <w:p w:rsidR="00000000" w:rsidRPr="00AD1063" w:rsidP="00AD1063">
      <w:pPr>
        <w:pStyle w:val="BodyText"/>
      </w:pPr>
      <w:r w:rsidRPr="00AD1063">
        <w:t>MEM14006</w:t>
      </w:r>
      <w:r w:rsidRPr="00AD1063">
        <w:tab/>
        <w:t>Plan work activities</w:t>
      </w:r>
    </w:p>
    <w:p w:rsidR="00000000" w:rsidRPr="00AD1063" w:rsidP="00AD1063">
      <w:pPr>
        <w:pStyle w:val="BodyText"/>
      </w:pPr>
      <w:r w:rsidRPr="00AD1063">
        <w:t>MEM16006</w:t>
      </w:r>
      <w:r w:rsidRPr="00AD1063">
        <w:tab/>
        <w:t>Organise and communicate information</w:t>
      </w:r>
    </w:p>
    <w:p w:rsidR="00000000" w:rsidRPr="00AD1063" w:rsidP="00AD1063">
      <w:pPr>
        <w:pStyle w:val="BodyText"/>
      </w:pPr>
      <w:r w:rsidRPr="00AD1063">
        <w:t>MEM18001</w:t>
      </w:r>
      <w:r w:rsidRPr="00AD1063">
        <w:tab/>
        <w:t>Use hand tools</w:t>
      </w:r>
    </w:p>
    <w:p w:rsidR="00DA60D7" w:rsidP="00AD1063">
      <w:pPr>
        <w:pStyle w:val="BodyText"/>
      </w:pPr>
      <w:r w:rsidRPr="00AD1063">
        <w:t>MEM18002</w:t>
      </w:r>
      <w:r w:rsidRPr="00AD1063">
        <w:tab/>
        <w:t>Use power tools/hand held operations</w:t>
      </w:r>
    </w:p>
    <w:p w:rsidR="00DA60D7" w:rsidP="00AD1063">
      <w:pPr>
        <w:pStyle w:val="BodyText"/>
      </w:pPr>
    </w:p>
    <w:p w:rsidR="00000000" w:rsidRPr="00AD1063" w:rsidP="00AD1063">
      <w:pPr>
        <w:pStyle w:val="Heading1"/>
      </w:pPr>
      <w:bookmarkStart w:id="4" w:name="O_1270962"/>
      <w:bookmarkEnd w:id="4"/>
      <w:r w:rsidRPr="00AD1063">
        <w:t>Competency Field</w:t>
      </w:r>
    </w:p>
    <w:p w:rsidR="00DA60D7" w:rsidP="00DA60D7">
      <w:pPr>
        <w:pStyle w:val="BodyText"/>
      </w:pPr>
      <w:r w:rsidRPr="00AD1063">
        <w:t>Fabrication</w:t>
      </w:r>
    </w:p>
    <w:p w:rsidR="00000000" w:rsidRPr="00AD1063" w:rsidP="00AD1063">
      <w:pPr>
        <w:pStyle w:val="Heading1"/>
      </w:pPr>
      <w:bookmarkStart w:id="5" w:name="O_1270964"/>
      <w:bookmarkEnd w:id="5"/>
      <w:r w:rsidRPr="00AD106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A60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BodyText"/>
            </w:pPr>
            <w:r w:rsidRPr="00AD106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rPr>
                <w:rStyle w:val="SpecialBold"/>
              </w:rPr>
              <w:t>Performance Criteria</w:t>
            </w:r>
          </w:p>
        </w:tc>
      </w:tr>
      <w:tr w:rsidTr="00DA60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Performance criteria describe the performance needed to demonstrate achievement of</w:t>
            </w:r>
            <w:r w:rsidRPr="00AD1063">
              <w:t xml:space="preserve"> the element.</w:t>
            </w:r>
          </w:p>
        </w:tc>
      </w:tr>
      <w:tr w:rsidTr="00DA60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BodyText"/>
            </w:pPr>
            <w:r w:rsidRPr="00AD1063">
              <w:t>1.1 Follow standard operating procedures (SOPs)</w:t>
            </w:r>
          </w:p>
          <w:p w:rsidR="00000000" w:rsidRPr="00AD1063" w:rsidP="00AD1063">
            <w:pPr>
              <w:pStyle w:val="BodyText"/>
            </w:pPr>
            <w:r w:rsidRPr="00AD1063">
              <w:t>1.2 Comply with work health and safety (WHS) requirements at all times</w:t>
            </w:r>
          </w:p>
          <w:p w:rsidR="00000000" w:rsidRPr="00AD1063" w:rsidP="00AD1063">
            <w:pPr>
              <w:pStyle w:val="BodyText"/>
            </w:pPr>
            <w:r w:rsidRPr="00AD1063">
              <w:t>1.3 Use appropriate personal protective equipment (PPE) in accordance with SOPs</w:t>
            </w:r>
          </w:p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1.4 Identify job requirements from specifications, sketches, job sheets or work instructions</w:t>
            </w:r>
          </w:p>
        </w:tc>
      </w:tr>
      <w:tr w:rsidTr="00DA60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2. Prepare materials for FCAW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BodyText"/>
            </w:pPr>
            <w:r w:rsidRPr="00AD1063">
              <w:t>2.1 Prepare materials to achieve the required weld requirements</w:t>
            </w:r>
          </w:p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2.2 Assemble/align materials to specification in accordance with SOP</w:t>
            </w:r>
            <w:r w:rsidRPr="00AD1063">
              <w:t>s</w:t>
            </w:r>
          </w:p>
        </w:tc>
      </w:tr>
      <w:tr w:rsidTr="00DA60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3. Select,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BodyText"/>
            </w:pPr>
            <w:r w:rsidRPr="00AD1063">
              <w:t>3.1 Identify and select welding machine settings, accessories and consumables appropriate to the material</w:t>
            </w:r>
          </w:p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3.2 Assemble and set up semi-automatic machines</w:t>
            </w:r>
          </w:p>
        </w:tc>
      </w:tr>
      <w:tr w:rsidTr="00DA60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4. Minimise and rectify distortio</w:t>
            </w:r>
            <w:r w:rsidRPr="00AD1063">
              <w:t>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BodyText"/>
            </w:pPr>
            <w:r w:rsidRPr="00AD1063">
              <w:t>4.1 Apply appropriate distortion prevention measures</w:t>
            </w:r>
          </w:p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4.2 Rectify any distortion using appropriate techniques</w:t>
            </w:r>
          </w:p>
        </w:tc>
      </w:tr>
      <w:tr w:rsidTr="00DA60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5. Weld to job specification using FCAW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BodyText"/>
            </w:pPr>
            <w:r w:rsidRPr="00AD1063">
              <w:t>5.1 Ensure weld deposit is to specification</w:t>
            </w:r>
          </w:p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5.2 Clean joints to specifications</w:t>
            </w:r>
          </w:p>
        </w:tc>
      </w:tr>
      <w:tr w:rsidTr="00DA60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6. Ensure weld conforman</w:t>
            </w:r>
            <w:r w:rsidRPr="00AD1063">
              <w:t>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BodyText"/>
            </w:pPr>
            <w:r w:rsidRPr="00AD1063">
              <w:t>6.1 Inspect weld joints visually for conformance to specifications</w:t>
            </w:r>
          </w:p>
          <w:p w:rsidR="00000000" w:rsidRPr="00AD1063" w:rsidP="00AD1063">
            <w:pPr>
              <w:pStyle w:val="BodyText"/>
            </w:pPr>
            <w:r w:rsidRPr="00AD1063">
              <w:t>6.2 Rectify any weld defects with minimum loss of sound metal using correct techniques and tools</w:t>
            </w:r>
          </w:p>
          <w:p w:rsidR="00000000" w:rsidRPr="00AD1063" w:rsidP="00AD1063">
            <w:pPr>
              <w:pStyle w:val="BodyText"/>
            </w:pPr>
            <w:r w:rsidRPr="00AD1063">
              <w:t>6.3 Maintain weld records in accordance with SOPs</w:t>
            </w:r>
          </w:p>
        </w:tc>
      </w:tr>
    </w:tbl>
    <w:p w:rsidR="00DA60D7" w:rsidP="00AD1063">
      <w:pPr>
        <w:pStyle w:val="BodyText"/>
      </w:pPr>
    </w:p>
    <w:p w:rsidR="00DA60D7" w:rsidP="00AD1063">
      <w:pPr>
        <w:pStyle w:val="BodyText"/>
      </w:pPr>
    </w:p>
    <w:p w:rsidR="00000000" w:rsidRPr="00AD1063" w:rsidP="00AD1063">
      <w:pPr>
        <w:pStyle w:val="Heading1"/>
      </w:pPr>
      <w:bookmarkStart w:id="6" w:name="O_1270965"/>
      <w:bookmarkEnd w:id="6"/>
      <w:r w:rsidRPr="00AD1063">
        <w:t>Foundation Skills</w:t>
      </w:r>
    </w:p>
    <w:p w:rsidR="00000000" w:rsidRPr="00AD1063" w:rsidP="00DA60D7">
      <w:pPr>
        <w:pStyle w:val="BodyText"/>
      </w:pPr>
      <w:r w:rsidRPr="00AD1063">
        <w:t xml:space="preserve">This section describes those required skills (reading, writing, oral communication and numeracy) that are essential to workplace performance in this unit of competency.  </w:t>
      </w:r>
    </w:p>
    <w:p w:rsidR="00DA60D7" w:rsidP="00DA60D7">
      <w:pPr>
        <w:pStyle w:val="BodyText"/>
      </w:pPr>
      <w:r w:rsidRPr="00AD1063">
        <w:t xml:space="preserve">Foundation skills essential to performance are explicit in the performance criteria </w:t>
      </w:r>
      <w:r w:rsidRPr="00AD1063">
        <w:t>of this unit of competency.</w:t>
      </w:r>
    </w:p>
    <w:p w:rsidR="00000000" w:rsidRPr="00AD1063" w:rsidP="00AD1063">
      <w:pPr>
        <w:pStyle w:val="Heading1"/>
      </w:pPr>
      <w:bookmarkStart w:id="7" w:name="O_1270966"/>
      <w:bookmarkEnd w:id="7"/>
      <w:r w:rsidRPr="00AD106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9"/>
        <w:gridCol w:w="6501"/>
      </w:tblGrid>
      <w:tr w:rsidTr="00AD1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 xml:space="preserve">This field allows for different work environments and conditions that may affect performance. Essential operating conditions that may be present (depending on the work situation, needs of </w:t>
            </w:r>
            <w:r w:rsidRPr="00AD1063">
              <w:t>the candidate, accessibility of the item, and local industry and regional contexts) are included.</w:t>
            </w:r>
          </w:p>
        </w:tc>
      </w:tr>
      <w:tr w:rsidTr="00AD1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Welds include: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fillet and butt welds carried out in all positions.</w:t>
            </w:r>
          </w:p>
        </w:tc>
      </w:tr>
      <w:tr w:rsidTr="00AD1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Materials include one or more of the following: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ListBullet"/>
            </w:pPr>
            <w:r w:rsidRPr="00AD1063">
              <w:t>carbon steel</w:t>
            </w:r>
          </w:p>
          <w:p w:rsidR="00000000" w:rsidP="00AD1063">
            <w:pPr>
              <w:pStyle w:val="ListBullet"/>
              <w:rPr>
                <w:lang w:val="en-NZ"/>
              </w:rPr>
            </w:pPr>
            <w:r w:rsidRPr="00AD1063">
              <w:t>stainless steel.</w:t>
            </w:r>
          </w:p>
        </w:tc>
      </w:tr>
      <w:tr w:rsidTr="00AD1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Preparation includes one or more of the following: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ListBullet"/>
            </w:pPr>
            <w:r w:rsidRPr="00AD1063">
              <w:t>pre-heating</w:t>
            </w:r>
          </w:p>
          <w:p w:rsidR="00000000" w:rsidRPr="00AD1063" w:rsidP="00AD1063">
            <w:pPr>
              <w:pStyle w:val="ListBullet"/>
            </w:pPr>
            <w:r w:rsidRPr="00AD1063">
              <w:t>setting up of jigs</w:t>
            </w:r>
          </w:p>
          <w:p w:rsidR="00000000" w:rsidP="00AD1063">
            <w:pPr>
              <w:pStyle w:val="ListBullet"/>
              <w:rPr>
                <w:lang w:val="en-NZ"/>
              </w:rPr>
            </w:pPr>
            <w:r w:rsidRPr="00AD1063">
              <w:t>fixtures and clamps.</w:t>
            </w:r>
          </w:p>
        </w:tc>
      </w:tr>
      <w:tr w:rsidTr="00AD1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Consumables include one or more of the following: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ListBullet"/>
            </w:pPr>
            <w:r w:rsidRPr="00AD1063">
              <w:t>gas or gasless wire</w:t>
            </w:r>
          </w:p>
          <w:p w:rsidR="00000000" w:rsidP="00AD1063">
            <w:pPr>
              <w:pStyle w:val="ListBullet"/>
              <w:rPr>
                <w:lang w:val="en-NZ"/>
              </w:rPr>
            </w:pPr>
            <w:r w:rsidRPr="00AD1063">
              <w:t>gases.</w:t>
            </w:r>
          </w:p>
        </w:tc>
      </w:tr>
      <w:tr w:rsidTr="00AD1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Distortion prevention measures include one or more of the following: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ListBullet"/>
            </w:pPr>
            <w:r w:rsidRPr="00AD1063">
              <w:t>pr</w:t>
            </w:r>
            <w:r w:rsidRPr="00AD1063">
              <w:t>e-heating</w:t>
            </w:r>
          </w:p>
          <w:p w:rsidR="00000000" w:rsidRPr="00AD1063" w:rsidP="00AD1063">
            <w:pPr>
              <w:pStyle w:val="ListBullet"/>
            </w:pPr>
            <w:r w:rsidRPr="00AD1063">
              <w:t>setting up of jigs</w:t>
            </w:r>
          </w:p>
          <w:p w:rsidR="00000000" w:rsidP="00AD1063">
            <w:pPr>
              <w:pStyle w:val="ListBullet"/>
              <w:rPr>
                <w:lang w:val="en-NZ"/>
              </w:rPr>
            </w:pPr>
            <w:r w:rsidRPr="00AD1063">
              <w:t>fixtures and clamps.</w:t>
            </w:r>
          </w:p>
        </w:tc>
      </w:tr>
      <w:tr w:rsidTr="00AD1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63">
            <w:pPr>
              <w:pStyle w:val="BodyText"/>
              <w:rPr>
                <w:lang w:val="en-NZ"/>
              </w:rPr>
            </w:pPr>
            <w:r w:rsidRPr="00AD1063">
              <w:t>Rectify includes the use of one or more of the following: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63" w:rsidP="00AD1063">
            <w:pPr>
              <w:pStyle w:val="ListBullet"/>
            </w:pPr>
            <w:r w:rsidRPr="00AD1063">
              <w:t>oxy acetylene</w:t>
            </w:r>
          </w:p>
          <w:p w:rsidR="00000000" w:rsidRPr="00AD1063" w:rsidP="00AD1063">
            <w:pPr>
              <w:pStyle w:val="ListBullet"/>
            </w:pPr>
            <w:r w:rsidRPr="00AD1063">
              <w:t>air arc equipment</w:t>
            </w:r>
          </w:p>
          <w:p w:rsidR="00000000" w:rsidRPr="00AD1063" w:rsidP="00AD1063">
            <w:pPr>
              <w:pStyle w:val="ListBullet"/>
            </w:pPr>
            <w:r w:rsidRPr="00AD1063">
              <w:t>grinding devices.</w:t>
            </w:r>
          </w:p>
        </w:tc>
      </w:tr>
    </w:tbl>
    <w:p w:rsidR="00DA60D7" w:rsidP="00AD1063">
      <w:pPr>
        <w:pStyle w:val="BodyText"/>
      </w:pPr>
    </w:p>
    <w:p w:rsidR="00DA60D7" w:rsidP="00AD1063">
      <w:pPr>
        <w:pStyle w:val="BodyText"/>
      </w:pPr>
    </w:p>
    <w:p w:rsidR="00000000" w:rsidRPr="00AD1063" w:rsidP="00AD1063">
      <w:pPr>
        <w:pStyle w:val="Heading1"/>
      </w:pPr>
      <w:bookmarkStart w:id="8" w:name="O_1270967"/>
      <w:bookmarkEnd w:id="8"/>
      <w:r w:rsidRPr="00AD1063">
        <w:t>Unit Mapping Information</w:t>
      </w:r>
    </w:p>
    <w:p w:rsidR="00DA60D7" w:rsidP="00DA60D7">
      <w:pPr>
        <w:pStyle w:val="BodyText"/>
      </w:pPr>
      <w:r w:rsidRPr="00AD1063">
        <w:t>Release 1. Supersedes and is equivalent to MEM05047 Weld using flux core arc welding process.</w:t>
      </w:r>
    </w:p>
    <w:p w:rsidR="00000000" w:rsidRPr="00AD1063" w:rsidP="00AD1063">
      <w:pPr>
        <w:pStyle w:val="Heading1"/>
      </w:pPr>
      <w:bookmarkStart w:id="9" w:name="O_1270974"/>
      <w:bookmarkEnd w:id="9"/>
      <w:r w:rsidRPr="00AD1063">
        <w:t>Links</w:t>
      </w:r>
    </w:p>
    <w:p w:rsidR="00000000" w:rsidRPr="00AD1063" w:rsidP="00DA60D7">
      <w:pPr>
        <w:pStyle w:val="BodyText"/>
      </w:pPr>
      <w:r w:rsidRPr="00AD10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126C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D1063" w:rsidP="00AD1063"/>
    <w:sectPr w:rsidSect="00AD10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63" w:rsidRPr="00DA60D7" w:rsidP="00DA6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D7" w:rsidP="00AD1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0D7" w:rsidP="00AD1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60D7" w:rsidP="00AD1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063" w:rsidRPr="00DA60D7" w:rsidP="00DA6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D7" w:rsidRPr="002D2AF8" w:rsidP="00AD1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MEM05096 Weld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A60D7" w:rsidP="00AD1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10A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F204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063"/>
  </w:style>
  <w:style w:type="character" w:customStyle="1" w:styleId="Heading1Char">
    <w:name w:val="Heading 1 Char"/>
    <w:basedOn w:val="DefaultParagraphFont"/>
    <w:link w:val="Heading1"/>
    <w:rsid w:val="00AD1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0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0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1063"/>
    <w:rPr>
      <w:b/>
      <w:spacing w:val="0"/>
    </w:rPr>
  </w:style>
  <w:style w:type="paragraph" w:customStyle="1" w:styleId="SuperHeading">
    <w:name w:val="SuperHeading"/>
    <w:basedOn w:val="Normal"/>
    <w:rsid w:val="00AD1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0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1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0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0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063"/>
    <w:rPr>
      <w:i/>
    </w:rPr>
  </w:style>
  <w:style w:type="paragraph" w:styleId="Caption">
    <w:name w:val="caption"/>
    <w:basedOn w:val="BodyText"/>
    <w:next w:val="Normal"/>
    <w:qFormat/>
    <w:rsid w:val="00AD1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063"/>
  </w:style>
  <w:style w:type="paragraph" w:styleId="TableofFigures">
    <w:name w:val="table of figures"/>
    <w:basedOn w:val="Normal"/>
    <w:next w:val="Normal"/>
    <w:semiHidden/>
    <w:rsid w:val="00AD1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0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1063"/>
    <w:rPr>
      <w:rFonts w:ascii="Wingdings" w:hAnsi="Wingdings"/>
    </w:rPr>
  </w:style>
  <w:style w:type="paragraph" w:customStyle="1" w:styleId="TableHeading">
    <w:name w:val="Table Heading"/>
    <w:basedOn w:val="HeadingBase"/>
    <w:rsid w:val="00AD1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063"/>
    <w:rPr>
      <w:color w:val="0033CC"/>
      <w:u w:val="none"/>
    </w:rPr>
  </w:style>
  <w:style w:type="paragraph" w:customStyle="1" w:styleId="BodyTextRight">
    <w:name w:val="Body Text Right"/>
    <w:basedOn w:val="BodyText"/>
    <w:rsid w:val="00AD1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0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063"/>
    <w:rPr>
      <w:sz w:val="32"/>
    </w:rPr>
  </w:style>
  <w:style w:type="paragraph" w:customStyle="1" w:styleId="HeadingProcedure">
    <w:name w:val="Heading Procedure"/>
    <w:basedOn w:val="HeadingBase"/>
    <w:next w:val="Normal"/>
    <w:rsid w:val="00AD1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063"/>
    <w:pPr>
      <w:spacing w:before="60" w:after="60"/>
    </w:pPr>
  </w:style>
  <w:style w:type="paragraph" w:styleId="ListContinue">
    <w:name w:val="List Continue"/>
    <w:basedOn w:val="List"/>
    <w:rsid w:val="00AD1063"/>
    <w:pPr>
      <w:ind w:firstLine="0"/>
    </w:pPr>
  </w:style>
  <w:style w:type="paragraph" w:customStyle="1" w:styleId="ListNote">
    <w:name w:val="List Note"/>
    <w:basedOn w:val="List"/>
    <w:rsid w:val="00AD1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063"/>
    <w:rPr>
      <w:rFonts w:ascii="Courier New" w:hAnsi="Courier New"/>
    </w:rPr>
  </w:style>
  <w:style w:type="paragraph" w:customStyle="1" w:styleId="NoteBullet">
    <w:name w:val="Note Bullet"/>
    <w:basedOn w:val="Note"/>
    <w:rsid w:val="00AD1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0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1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063"/>
    <w:rPr>
      <w:b/>
      <w:smallCaps/>
    </w:rPr>
  </w:style>
  <w:style w:type="paragraph" w:customStyle="1" w:styleId="TableListNumber">
    <w:name w:val="Table List Number"/>
    <w:basedOn w:val="ListNumber"/>
    <w:rsid w:val="00AD1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063"/>
    <w:pPr>
      <w:numPr>
        <w:numId w:val="8"/>
      </w:numPr>
    </w:pPr>
  </w:style>
  <w:style w:type="paragraph" w:customStyle="1" w:styleId="ListAlpha2">
    <w:name w:val="List Alpha 2"/>
    <w:basedOn w:val="List2"/>
    <w:rsid w:val="00AD1063"/>
    <w:pPr>
      <w:numPr>
        <w:numId w:val="7"/>
      </w:numPr>
    </w:pPr>
  </w:style>
  <w:style w:type="paragraph" w:styleId="List2">
    <w:name w:val="List 2"/>
    <w:basedOn w:val="BodyText"/>
    <w:rsid w:val="00AD1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0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0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1063"/>
    <w:pPr>
      <w:numPr>
        <w:numId w:val="3"/>
      </w:numPr>
    </w:pPr>
  </w:style>
  <w:style w:type="paragraph" w:styleId="ListContinue2">
    <w:name w:val="List Continue 2"/>
    <w:basedOn w:val="List2"/>
    <w:rsid w:val="00AD1063"/>
    <w:pPr>
      <w:ind w:firstLine="0"/>
    </w:pPr>
  </w:style>
  <w:style w:type="paragraph" w:styleId="ListContinue3">
    <w:name w:val="List Continue 3"/>
    <w:basedOn w:val="List3"/>
    <w:rsid w:val="00AD1063"/>
    <w:pPr>
      <w:ind w:left="1021" w:firstLine="0"/>
    </w:pPr>
  </w:style>
  <w:style w:type="paragraph" w:styleId="ListContinue4">
    <w:name w:val="List Continue 4"/>
    <w:basedOn w:val="List4"/>
    <w:rsid w:val="00AD1063"/>
    <w:pPr>
      <w:ind w:firstLine="0"/>
    </w:pPr>
  </w:style>
  <w:style w:type="paragraph" w:styleId="ListContinue5">
    <w:name w:val="List Continue 5"/>
    <w:basedOn w:val="List5"/>
    <w:rsid w:val="00AD1063"/>
    <w:pPr>
      <w:ind w:firstLine="0"/>
    </w:pPr>
  </w:style>
  <w:style w:type="paragraph" w:styleId="ListNumber3">
    <w:name w:val="List Number 3"/>
    <w:basedOn w:val="List3"/>
    <w:rsid w:val="00AD1063"/>
    <w:pPr>
      <w:numPr>
        <w:numId w:val="4"/>
      </w:numPr>
    </w:pPr>
  </w:style>
  <w:style w:type="paragraph" w:styleId="ListNumber4">
    <w:name w:val="List Number 4"/>
    <w:basedOn w:val="List4"/>
    <w:rsid w:val="00AD1063"/>
    <w:pPr>
      <w:numPr>
        <w:numId w:val="5"/>
      </w:numPr>
    </w:pPr>
  </w:style>
  <w:style w:type="paragraph" w:styleId="ListNumber5">
    <w:name w:val="List Number 5"/>
    <w:basedOn w:val="List5"/>
    <w:rsid w:val="00AD1063"/>
    <w:pPr>
      <w:numPr>
        <w:numId w:val="6"/>
      </w:numPr>
    </w:pPr>
  </w:style>
  <w:style w:type="paragraph" w:styleId="BlockText">
    <w:name w:val="Block Text"/>
    <w:basedOn w:val="Normal"/>
    <w:rsid w:val="00AD1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063"/>
    <w:rPr>
      <w:sz w:val="16"/>
      <w:vertAlign w:val="superscript"/>
    </w:rPr>
  </w:style>
  <w:style w:type="character" w:customStyle="1" w:styleId="Symbols">
    <w:name w:val="Symbols"/>
    <w:basedOn w:val="DefaultParagraphFont"/>
    <w:rsid w:val="00AD1063"/>
    <w:rPr>
      <w:rFonts w:ascii="Symbol" w:hAnsi="Symbol"/>
    </w:rPr>
  </w:style>
  <w:style w:type="character" w:customStyle="1" w:styleId="MenuOptions">
    <w:name w:val="Menu Options"/>
    <w:basedOn w:val="DefaultParagraphFont"/>
    <w:rsid w:val="00AD1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063"/>
    <w:rPr>
      <w:b/>
    </w:rPr>
  </w:style>
  <w:style w:type="character" w:customStyle="1" w:styleId="Underlined">
    <w:name w:val="Underlined"/>
    <w:basedOn w:val="DefaultParagraphFont"/>
    <w:rsid w:val="00AD1063"/>
    <w:rPr>
      <w:u w:val="single"/>
    </w:rPr>
  </w:style>
  <w:style w:type="paragraph" w:customStyle="1" w:styleId="TableBodyTextRight">
    <w:name w:val="Table Body Text Right"/>
    <w:basedOn w:val="TableBodyText"/>
    <w:rsid w:val="00AD1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063"/>
    <w:rPr>
      <w:sz w:val="18"/>
    </w:rPr>
  </w:style>
  <w:style w:type="paragraph" w:customStyle="1" w:styleId="BodySmallRight">
    <w:name w:val="Body Small Right"/>
    <w:basedOn w:val="BodyTextRight"/>
    <w:rsid w:val="00AD1063"/>
    <w:rPr>
      <w:sz w:val="18"/>
      <w:szCs w:val="18"/>
    </w:rPr>
  </w:style>
  <w:style w:type="paragraph" w:customStyle="1" w:styleId="MarginEdition">
    <w:name w:val="Margin Edition"/>
    <w:basedOn w:val="MarginNote"/>
    <w:rsid w:val="00AD1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063"/>
    <w:rPr>
      <w:sz w:val="2"/>
      <w:szCs w:val="2"/>
    </w:rPr>
  </w:style>
  <w:style w:type="character" w:customStyle="1" w:styleId="Small">
    <w:name w:val="Small"/>
    <w:basedOn w:val="DefaultParagraphFont"/>
    <w:rsid w:val="00AD1063"/>
    <w:rPr>
      <w:sz w:val="16"/>
    </w:rPr>
  </w:style>
  <w:style w:type="paragraph" w:customStyle="1" w:styleId="WideTable">
    <w:name w:val="Wide Table"/>
    <w:basedOn w:val="Normal"/>
    <w:rsid w:val="00AD1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063"/>
  </w:style>
  <w:style w:type="paragraph" w:styleId="Quote">
    <w:name w:val="Quote"/>
    <w:basedOn w:val="Heading1"/>
    <w:link w:val="QuoteChar"/>
    <w:qFormat/>
    <w:rsid w:val="00AD1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063"/>
    <w:pPr>
      <w:pageBreakBefore/>
    </w:pPr>
  </w:style>
  <w:style w:type="paragraph" w:customStyle="1" w:styleId="Border">
    <w:name w:val="Border"/>
    <w:basedOn w:val="Normal"/>
    <w:qFormat/>
    <w:rsid w:val="00AD1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063"/>
    <w:rPr>
      <w:u w:val="single"/>
    </w:rPr>
  </w:style>
  <w:style w:type="character" w:customStyle="1" w:styleId="BoldandItalics">
    <w:name w:val="Bold and Italics"/>
    <w:qFormat/>
    <w:rsid w:val="00AD1063"/>
    <w:rPr>
      <w:b/>
      <w:i/>
      <w:u w:val="none"/>
    </w:rPr>
  </w:style>
  <w:style w:type="paragraph" w:styleId="BalloonText">
    <w:name w:val="Balloon Text"/>
    <w:basedOn w:val="Normal"/>
    <w:link w:val="BalloonTextChar"/>
    <w:rsid w:val="00AD1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063"/>
    <w:pPr>
      <w:spacing w:before="0" w:after="0"/>
    </w:pPr>
  </w:style>
  <w:style w:type="paragraph" w:customStyle="1" w:styleId="BodyTextBold">
    <w:name w:val="Body Text Bold"/>
    <w:basedOn w:val="BodyText"/>
    <w:qFormat/>
    <w:rsid w:val="00AD1063"/>
    <w:rPr>
      <w:b/>
    </w:rPr>
  </w:style>
  <w:style w:type="character" w:styleId="Hyperlink">
    <w:name w:val="Hyperlink"/>
    <w:basedOn w:val="DefaultParagraphFont"/>
    <w:uiPriority w:val="99"/>
    <w:unhideWhenUsed/>
    <w:rsid w:val="00DA6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3779</Characters>
  <Application>Microsoft Office Word</Application>
  <DocSecurity>0</DocSecurity>
  <Lines>139</Lines>
  <Paragraphs>97</Paragraphs>
  <ScaleCrop>false</ScaleCrop>
  <Company>Author-it Software Corporation Ltd.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MEM05096 Weld using flux core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