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7DF" w:rsidP="00B80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MEM05092 Weld using gas tungsten arc welding process</w:t>
      </w:r>
      <w:r>
        <w:fldChar w:fldCharType="end"/>
      </w:r>
    </w:p>
    <w:p w:rsidR="00B807DF" w:rsidP="00B807DF">
      <w:pPr>
        <w:pStyle w:val="Version"/>
        <w:sectPr w:rsidSect="002C3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E26" w:rsidP="002C3E26">
      <w:pPr>
        <w:pStyle w:val="SuperHeading"/>
      </w:pPr>
      <w:r w:rsidRPr="002C3E26">
        <w:t>MEM05092 Weld using gas tungsten arc welding process</w:t>
      </w:r>
    </w:p>
    <w:p w:rsidR="00000000" w:rsidRPr="002C3E26" w:rsidP="002C3E26">
      <w:pPr>
        <w:pStyle w:val="Heading1"/>
      </w:pPr>
      <w:bookmarkStart w:id="1" w:name="O_1270883"/>
      <w:bookmarkEnd w:id="1"/>
      <w:r w:rsidRPr="002C3E26">
        <w:t>Modification History</w:t>
      </w:r>
    </w:p>
    <w:p w:rsidR="00B807DF" w:rsidP="00B807DF">
      <w:pPr>
        <w:pStyle w:val="BodyText"/>
      </w:pPr>
      <w:r w:rsidRPr="002C3E26">
        <w:t xml:space="preserve">Release 1. Supersedes and is equivalent to MEM05019 Weld using gas tungsten arc welding process. </w:t>
      </w:r>
    </w:p>
    <w:p w:rsidR="00000000" w:rsidRPr="002C3E26" w:rsidP="002C3E26">
      <w:pPr>
        <w:pStyle w:val="Heading1"/>
      </w:pPr>
      <w:bookmarkStart w:id="2" w:name="O_1270884"/>
      <w:bookmarkEnd w:id="2"/>
      <w:r w:rsidRPr="002C3E26">
        <w:t>Application</w:t>
      </w:r>
    </w:p>
    <w:p w:rsidR="00000000" w:rsidRPr="002C3E26" w:rsidP="00B807DF">
      <w:pPr>
        <w:pStyle w:val="BodyText"/>
      </w:pPr>
      <w:r w:rsidRPr="002C3E26">
        <w:t>This unit of competency has been developed for Engineering Tradesperson – Fabrication a</w:t>
      </w:r>
      <w:r w:rsidRPr="002C3E26">
        <w:t>pprenticeship training and the recognition of trade-level skills in gas tungsten arc welding (GTAW) on heavy or light metal fabrications. It may also apply to other trade occupations requiring higher level GTAW welding skills.</w:t>
      </w:r>
    </w:p>
    <w:p w:rsidR="00000000" w:rsidRPr="002C3E26" w:rsidP="00B807DF">
      <w:pPr>
        <w:pStyle w:val="BodyText"/>
      </w:pPr>
      <w:r w:rsidRPr="002C3E26">
        <w:t xml:space="preserve">Weld quality must conform to </w:t>
      </w:r>
      <w:r w:rsidRPr="002C3E26">
        <w:t>AS 1554 General Purpose and American Bureau of Shipping (ABS), or equivalent.</w:t>
      </w:r>
    </w:p>
    <w:p w:rsidR="00000000" w:rsidRPr="002C3E26" w:rsidP="00B807DF">
      <w:pPr>
        <w:pStyle w:val="BodyText"/>
      </w:pPr>
      <w:r w:rsidRPr="002C3E26">
        <w:t>Where manual thermal processes associated with preparation, pre-heat and/or post-heat is required, the unit MEM05007 Perform manual heating and thermal cutting and the unit MEM05</w:t>
      </w:r>
      <w:r w:rsidRPr="002C3E26">
        <w:t>071 Perform advanced manual thermal cutting, gouging and shaping, must also be selected as appropriate.</w:t>
      </w:r>
    </w:p>
    <w:p w:rsidR="00000000" w:rsidRPr="002C3E26" w:rsidP="00B807DF">
      <w:pPr>
        <w:pStyle w:val="BodyText"/>
      </w:pPr>
      <w:r w:rsidRPr="002C3E26">
        <w:t>No licensing, legislative or certification requirements apply to this unit at the time of publication.</w:t>
      </w:r>
    </w:p>
    <w:p w:rsidR="00000000" w:rsidRPr="002C3E26" w:rsidP="00B807DF">
      <w:pPr>
        <w:pStyle w:val="Heading3"/>
      </w:pPr>
      <w:r w:rsidRPr="002C3E26">
        <w:rPr>
          <w:rStyle w:val="SpecialBold"/>
        </w:rPr>
        <w:t>Band</w:t>
      </w:r>
      <w:r w:rsidRPr="002C3E26">
        <w:t xml:space="preserve">: </w:t>
      </w:r>
      <w:r w:rsidRPr="002C3E26">
        <w:rPr>
          <w:rStyle w:val="SpecialBold"/>
        </w:rPr>
        <w:t>A</w:t>
      </w:r>
    </w:p>
    <w:p w:rsidR="00B807DF" w:rsidP="00B807DF">
      <w:pPr>
        <w:pStyle w:val="Heading3"/>
      </w:pPr>
      <w:r w:rsidRPr="002C3E26">
        <w:rPr>
          <w:rStyle w:val="SpecialBold"/>
        </w:rPr>
        <w:t>Unit Weight</w:t>
      </w:r>
      <w:r w:rsidRPr="002C3E26">
        <w:t xml:space="preserve">: </w:t>
      </w:r>
      <w:r w:rsidRPr="002C3E26">
        <w:rPr>
          <w:rStyle w:val="SpecialBold"/>
        </w:rPr>
        <w:t>4</w:t>
      </w:r>
    </w:p>
    <w:p w:rsidR="00000000" w:rsidRPr="002C3E26" w:rsidP="002C3E26">
      <w:pPr>
        <w:pStyle w:val="Heading1"/>
      </w:pPr>
      <w:bookmarkStart w:id="3" w:name="O_1270885"/>
      <w:bookmarkEnd w:id="3"/>
      <w:r w:rsidRPr="002C3E26">
        <w:t>Pre-re</w:t>
      </w:r>
      <w:r w:rsidRPr="002C3E26">
        <w:t>quisite Unit</w:t>
      </w:r>
    </w:p>
    <w:p w:rsidR="00000000" w:rsidRPr="002C3E26" w:rsidP="002C3E26">
      <w:pPr>
        <w:pStyle w:val="BodyText"/>
      </w:pPr>
      <w:r w:rsidRPr="002C3E26">
        <w:t>MEM05049</w:t>
      </w:r>
      <w:r w:rsidRPr="002C3E26">
        <w:tab/>
        <w:t>Perform routine gas tungsten arc welding</w:t>
      </w:r>
    </w:p>
    <w:p w:rsidR="00000000" w:rsidRPr="002C3E26" w:rsidP="002C3E26">
      <w:pPr>
        <w:pStyle w:val="BodyText"/>
      </w:pPr>
      <w:r w:rsidRPr="002C3E26">
        <w:t>MEM05052</w:t>
      </w:r>
      <w:r w:rsidRPr="002C3E26">
        <w:tab/>
        <w:t>Apply safe welding practices</w:t>
      </w:r>
    </w:p>
    <w:p w:rsidR="00000000" w:rsidRPr="002C3E26" w:rsidP="002C3E26">
      <w:pPr>
        <w:pStyle w:val="BodyText"/>
      </w:pPr>
      <w:r w:rsidRPr="002C3E26">
        <w:t>MEM05085</w:t>
      </w:r>
      <w:r w:rsidRPr="002C3E26">
        <w:tab/>
        <w:t>Select welding processes</w:t>
      </w:r>
    </w:p>
    <w:p w:rsidR="00000000" w:rsidRPr="002C3E26" w:rsidP="002C3E26">
      <w:pPr>
        <w:pStyle w:val="BodyText"/>
      </w:pPr>
      <w:r w:rsidRPr="002C3E26">
        <w:t>MEM09002</w:t>
      </w:r>
      <w:r w:rsidRPr="002C3E26">
        <w:tab/>
        <w:t>Interpret technical drawing</w:t>
      </w:r>
    </w:p>
    <w:p w:rsidR="00000000" w:rsidRPr="002C3E26" w:rsidP="002C3E26">
      <w:pPr>
        <w:pStyle w:val="BodyText"/>
      </w:pPr>
      <w:r w:rsidRPr="002C3E26">
        <w:t>MEM11011</w:t>
      </w:r>
      <w:r w:rsidRPr="002C3E26">
        <w:tab/>
        <w:t>Undertake manual handling</w:t>
      </w:r>
    </w:p>
    <w:p w:rsidR="00000000" w:rsidRPr="002C3E26" w:rsidP="002C3E26">
      <w:pPr>
        <w:pStyle w:val="BodyText"/>
      </w:pPr>
      <w:r w:rsidRPr="002C3E26">
        <w:t>MEM12023</w:t>
      </w:r>
      <w:r w:rsidRPr="002C3E26">
        <w:tab/>
        <w:t>Perform engineering measurements</w:t>
      </w:r>
    </w:p>
    <w:p w:rsidR="00000000" w:rsidRPr="002C3E26" w:rsidP="002C3E26">
      <w:pPr>
        <w:pStyle w:val="BodyText"/>
      </w:pPr>
      <w:r w:rsidRPr="002C3E26">
        <w:t>MEM1202</w:t>
      </w:r>
      <w:r w:rsidRPr="002C3E26">
        <w:t>4</w:t>
      </w:r>
      <w:r w:rsidRPr="002C3E26">
        <w:tab/>
        <w:t>Perform computations</w:t>
      </w:r>
    </w:p>
    <w:p w:rsidR="00000000" w:rsidRPr="002C3E26" w:rsidP="002C3E26">
      <w:pPr>
        <w:pStyle w:val="BodyText"/>
      </w:pPr>
      <w:r w:rsidRPr="002C3E26">
        <w:t>MEM13015</w:t>
      </w:r>
      <w:r w:rsidRPr="002C3E26">
        <w:tab/>
        <w:t>Work safely and effectively in manufacturing and engineering</w:t>
      </w:r>
    </w:p>
    <w:p w:rsidR="00000000" w:rsidRPr="002C3E26" w:rsidP="002C3E26">
      <w:pPr>
        <w:pStyle w:val="BodyText"/>
      </w:pPr>
      <w:r w:rsidRPr="002C3E26">
        <w:t>MEM14006</w:t>
      </w:r>
      <w:r w:rsidRPr="002C3E26">
        <w:tab/>
        <w:t>Plan work activities</w:t>
      </w:r>
    </w:p>
    <w:p w:rsidR="00000000" w:rsidRPr="002C3E26" w:rsidP="002C3E26">
      <w:pPr>
        <w:pStyle w:val="BodyText"/>
      </w:pPr>
      <w:r w:rsidRPr="002C3E26">
        <w:t>MEM16006</w:t>
      </w:r>
      <w:r w:rsidRPr="002C3E26">
        <w:tab/>
        <w:t>Organise and communicate information</w:t>
      </w:r>
    </w:p>
    <w:p w:rsidR="00000000" w:rsidRPr="002C3E26" w:rsidP="002C3E26">
      <w:pPr>
        <w:pStyle w:val="BodyText"/>
      </w:pPr>
      <w:r w:rsidRPr="002C3E26">
        <w:t>MEM18001</w:t>
      </w:r>
      <w:r w:rsidRPr="002C3E26">
        <w:tab/>
        <w:t>Use hand tools</w:t>
      </w:r>
    </w:p>
    <w:p w:rsidR="00B807DF" w:rsidP="002C3E26">
      <w:pPr>
        <w:pStyle w:val="BodyText"/>
      </w:pPr>
      <w:r w:rsidRPr="002C3E26">
        <w:t>MEM18002</w:t>
      </w:r>
      <w:r w:rsidRPr="002C3E26">
        <w:tab/>
        <w:t>Use power tools/hand held operations</w:t>
      </w:r>
    </w:p>
    <w:p w:rsidR="00B807DF" w:rsidP="002C3E26">
      <w:pPr>
        <w:pStyle w:val="BodyText"/>
      </w:pPr>
    </w:p>
    <w:p w:rsidR="00000000" w:rsidRPr="002C3E26" w:rsidP="002C3E26">
      <w:pPr>
        <w:pStyle w:val="Heading1"/>
      </w:pPr>
      <w:bookmarkStart w:id="4" w:name="O_1270886"/>
      <w:bookmarkEnd w:id="4"/>
      <w:r w:rsidRPr="002C3E26">
        <w:t>Competency Field</w:t>
      </w:r>
    </w:p>
    <w:p w:rsidR="00B807DF" w:rsidP="00B807DF">
      <w:pPr>
        <w:pStyle w:val="BodyText"/>
      </w:pPr>
      <w:r w:rsidRPr="002C3E26">
        <w:t>Fabrication</w:t>
      </w:r>
    </w:p>
    <w:p w:rsidR="00000000" w:rsidRPr="002C3E26" w:rsidP="002C3E26">
      <w:pPr>
        <w:pStyle w:val="Heading1"/>
      </w:pPr>
      <w:bookmarkStart w:id="5" w:name="O_1270888"/>
      <w:bookmarkEnd w:id="5"/>
      <w:r w:rsidRPr="002C3E2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rPr>
                <w:rStyle w:val="SpecialBold"/>
              </w:rPr>
              <w:t>Performance Criteria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Performance criteria describe the performance needed to demonstrate achievement of the elem</w:t>
            </w:r>
            <w:r w:rsidRPr="002C3E26">
              <w:t>ent.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t>1.1 Follow standard operating procedures (SOPs)</w:t>
            </w:r>
          </w:p>
          <w:p w:rsidR="00000000" w:rsidRPr="002C3E26" w:rsidP="002C3E26">
            <w:pPr>
              <w:pStyle w:val="BodyText"/>
            </w:pPr>
            <w:r w:rsidRPr="002C3E26">
              <w:t>1.2 Comply with work health and safety (WHS) requirements at all times</w:t>
            </w:r>
          </w:p>
          <w:p w:rsidR="00000000" w:rsidRPr="002C3E26" w:rsidP="002C3E26">
            <w:pPr>
              <w:pStyle w:val="BodyText"/>
            </w:pPr>
            <w:r w:rsidRPr="002C3E26">
              <w:t>1.3 Use appropriate personal protective equipment (PPE) in accordance with SOPs</w:t>
            </w:r>
          </w:p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1.4 Identify job requirements from specifications, drawings, job sheets or work instructions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2. Prepare materials for GTAW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t>2.1 Prepare materials to achieve the required weld requirements</w:t>
            </w:r>
          </w:p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2.2 Assemble/align materials to specification in accordance with SOP</w:t>
            </w:r>
            <w:r w:rsidRPr="002C3E26">
              <w:t>s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t>3.1 Identify and select welding equipment and electrodes, accessories and consumables appropriate to the material</w:t>
            </w:r>
          </w:p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3.2 Assemble and set up alternating current (AC) or direct current (DC) we</w:t>
            </w:r>
            <w:r w:rsidRPr="002C3E26">
              <w:t>lding equipment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t>4.1 Apply appropriate distortion prevention measures</w:t>
            </w:r>
          </w:p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4.2 Rectify any distortion using appropriate techniques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5. Weld to job specification using GTAW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t>5.1 Ensure weld deposit is to specifications</w:t>
            </w:r>
          </w:p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5.2 Clean</w:t>
            </w:r>
            <w:r w:rsidRPr="002C3E26">
              <w:t xml:space="preserve"> joints to specifications</w:t>
            </w:r>
          </w:p>
        </w:tc>
      </w:tr>
      <w:tr w:rsidTr="00B80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BodyText"/>
            </w:pPr>
            <w:r w:rsidRPr="002C3E26">
              <w:t>6.1 Visually inspect weld joints for conformance to specifications</w:t>
            </w:r>
          </w:p>
          <w:p w:rsidR="00000000" w:rsidRPr="002C3E26" w:rsidP="002C3E26">
            <w:pPr>
              <w:pStyle w:val="BodyText"/>
            </w:pPr>
            <w:r w:rsidRPr="002C3E26">
              <w:t>6.2 Rectify any weld defects with minimum loss of sound metal using correct techniques and tools</w:t>
            </w:r>
          </w:p>
          <w:p w:rsidR="00000000" w:rsidRPr="002C3E26" w:rsidP="002C3E26">
            <w:pPr>
              <w:pStyle w:val="BodyText"/>
            </w:pPr>
            <w:r w:rsidRPr="002C3E26">
              <w:t>6.3 Complete weld records in accordanc</w:t>
            </w:r>
            <w:r w:rsidRPr="002C3E26">
              <w:t>e with SOPs</w:t>
            </w:r>
          </w:p>
        </w:tc>
      </w:tr>
    </w:tbl>
    <w:p w:rsidR="00B807DF" w:rsidP="002C3E26">
      <w:pPr>
        <w:pStyle w:val="BodyText"/>
      </w:pPr>
    </w:p>
    <w:p w:rsidR="00B807DF" w:rsidP="002C3E26">
      <w:pPr>
        <w:pStyle w:val="BodyText"/>
      </w:pPr>
    </w:p>
    <w:p w:rsidR="00000000" w:rsidRPr="002C3E26" w:rsidP="002C3E26">
      <w:pPr>
        <w:pStyle w:val="Heading1"/>
      </w:pPr>
      <w:bookmarkStart w:id="6" w:name="O_1270889"/>
      <w:bookmarkEnd w:id="6"/>
      <w:r w:rsidRPr="002C3E26">
        <w:t>Foundation Skills</w:t>
      </w:r>
    </w:p>
    <w:p w:rsidR="00000000" w:rsidRPr="002C3E26" w:rsidP="00B807DF">
      <w:pPr>
        <w:pStyle w:val="BodyText"/>
      </w:pPr>
      <w:r w:rsidRPr="002C3E26">
        <w:t xml:space="preserve">This section describes those required skills (reading, writing, oral communication and numeracy) that are essential to workplace performance in this unit of competency.  </w:t>
      </w:r>
    </w:p>
    <w:p w:rsidR="00B807DF" w:rsidP="00B807DF">
      <w:pPr>
        <w:pStyle w:val="BodyText"/>
      </w:pPr>
      <w:r w:rsidRPr="002C3E26">
        <w:t>Foundation skills essential to performance are explicit in the performance criteria of this unit of competency.</w:t>
      </w:r>
    </w:p>
    <w:p w:rsidR="00000000" w:rsidRPr="002C3E26" w:rsidP="002C3E26">
      <w:pPr>
        <w:pStyle w:val="Heading1"/>
      </w:pPr>
      <w:bookmarkStart w:id="7" w:name="O_1270890"/>
      <w:bookmarkEnd w:id="7"/>
      <w:r w:rsidRPr="002C3E2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82"/>
      </w:tblGrid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 xml:space="preserve">This field allows for different work environments and conditions that may affect performance. Essential </w:t>
            </w:r>
            <w:r w:rsidRPr="002C3E26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 xml:space="preserve">Welds include: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fillet and butt welds carried out in all positions.</w:t>
            </w:r>
          </w:p>
        </w:tc>
      </w:tr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Materials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ListBullet"/>
            </w:pPr>
            <w:r w:rsidRPr="002C3E26">
              <w:t>ferrous, including carbon steel or stainless steel</w:t>
            </w:r>
          </w:p>
          <w:p w:rsidR="00000000" w:rsidRPr="002C3E26" w:rsidP="002C3E26">
            <w:pPr>
              <w:pStyle w:val="ListBullet"/>
            </w:pPr>
            <w:r w:rsidRPr="002C3E26">
              <w:t>nonferrous metals</w:t>
            </w:r>
          </w:p>
          <w:p w:rsidR="00000000" w:rsidP="002C3E26">
            <w:pPr>
              <w:pStyle w:val="ListBullet"/>
              <w:rPr>
                <w:lang w:val="en-NZ"/>
              </w:rPr>
            </w:pPr>
            <w:r w:rsidRPr="002C3E26">
              <w:t>aluminium and other materials suitable for GTAW welding.</w:t>
            </w:r>
          </w:p>
        </w:tc>
      </w:tr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Preparation includes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ListBullet"/>
            </w:pPr>
            <w:r w:rsidRPr="002C3E26">
              <w:t>pre-heating</w:t>
            </w:r>
          </w:p>
          <w:p w:rsidR="00000000" w:rsidRPr="002C3E26" w:rsidP="002C3E26">
            <w:pPr>
              <w:pStyle w:val="ListBullet"/>
            </w:pPr>
            <w:r w:rsidRPr="002C3E26">
              <w:t>setting up of ji</w:t>
            </w:r>
            <w:r w:rsidRPr="002C3E26">
              <w:t>gs, fixtures and clamps</w:t>
            </w:r>
          </w:p>
          <w:p w:rsidR="00000000" w:rsidP="002C3E26">
            <w:pPr>
              <w:pStyle w:val="ListBullet"/>
              <w:rPr>
                <w:lang w:val="en-NZ"/>
              </w:rPr>
            </w:pPr>
            <w:r w:rsidRPr="002C3E26">
              <w:t>joint preparation (e.g. bevelling).</w:t>
            </w:r>
          </w:p>
        </w:tc>
      </w:tr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Distortion prevention measures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ListBullet"/>
            </w:pPr>
            <w:r w:rsidRPr="002C3E26">
              <w:t>pre-heating</w:t>
            </w:r>
          </w:p>
          <w:p w:rsidR="00000000" w:rsidRPr="002C3E26" w:rsidP="002C3E26">
            <w:pPr>
              <w:pStyle w:val="ListBullet"/>
            </w:pPr>
            <w:r w:rsidRPr="002C3E26">
              <w:t>setting up of jigs</w:t>
            </w:r>
          </w:p>
          <w:p w:rsidR="00000000" w:rsidP="002C3E26">
            <w:pPr>
              <w:pStyle w:val="ListBullet"/>
              <w:rPr>
                <w:lang w:val="en-NZ"/>
              </w:rPr>
            </w:pPr>
            <w:r w:rsidRPr="002C3E26">
              <w:t>fixtures and clamps.</w:t>
            </w:r>
          </w:p>
        </w:tc>
      </w:tr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Rectify includes the use of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ListBullet"/>
            </w:pPr>
            <w:r w:rsidRPr="002C3E26">
              <w:t xml:space="preserve">oxy acetylene </w:t>
            </w:r>
          </w:p>
          <w:p w:rsidR="00000000" w:rsidRPr="002C3E26" w:rsidP="002C3E26">
            <w:pPr>
              <w:pStyle w:val="ListBullet"/>
            </w:pPr>
            <w:r w:rsidRPr="002C3E26">
              <w:t>air arc equipment</w:t>
            </w:r>
          </w:p>
          <w:p w:rsidR="00000000" w:rsidP="002C3E26">
            <w:pPr>
              <w:pStyle w:val="ListBullet"/>
              <w:rPr>
                <w:lang w:val="en-NZ"/>
              </w:rPr>
            </w:pPr>
            <w:r w:rsidRPr="002C3E26">
              <w:t>grinding devices.</w:t>
            </w:r>
          </w:p>
        </w:tc>
      </w:tr>
      <w:tr w:rsidTr="002C3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26">
            <w:pPr>
              <w:pStyle w:val="BodyText"/>
              <w:rPr>
                <w:lang w:val="en-NZ"/>
              </w:rPr>
            </w:pPr>
            <w:r w:rsidRPr="002C3E26">
              <w:t>Defects include one or more of the following: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26" w:rsidP="002C3E26">
            <w:pPr>
              <w:pStyle w:val="ListBullet"/>
            </w:pPr>
            <w:r w:rsidRPr="002C3E26">
              <w:t>porosity</w:t>
            </w:r>
          </w:p>
          <w:p w:rsidR="00000000" w:rsidRPr="002C3E26" w:rsidP="002C3E26">
            <w:pPr>
              <w:pStyle w:val="ListBullet"/>
            </w:pPr>
            <w:r w:rsidRPr="002C3E26">
              <w:t>slag inclusions</w:t>
            </w:r>
          </w:p>
          <w:p w:rsidR="00000000" w:rsidRPr="002C3E26" w:rsidP="002C3E26">
            <w:pPr>
              <w:pStyle w:val="ListBullet"/>
            </w:pPr>
            <w:r w:rsidRPr="002C3E26">
              <w:t>discontinuities</w:t>
            </w:r>
          </w:p>
          <w:p w:rsidR="00000000" w:rsidRPr="002C3E26" w:rsidP="002C3E26">
            <w:pPr>
              <w:pStyle w:val="ListBullet"/>
            </w:pPr>
            <w:r w:rsidRPr="002C3E26">
              <w:t>lack of penetration</w:t>
            </w:r>
          </w:p>
          <w:p w:rsidR="00000000" w:rsidRPr="002C3E26" w:rsidP="002C3E26">
            <w:pPr>
              <w:pStyle w:val="ListBullet"/>
            </w:pPr>
            <w:r w:rsidRPr="002C3E26">
              <w:t>undercut.</w:t>
            </w:r>
          </w:p>
        </w:tc>
      </w:tr>
    </w:tbl>
    <w:p w:rsidR="00B807DF" w:rsidP="002C3E26">
      <w:pPr>
        <w:pStyle w:val="BodyText"/>
      </w:pPr>
    </w:p>
    <w:p w:rsidR="00B807DF" w:rsidP="002C3E26">
      <w:pPr>
        <w:pStyle w:val="BodyText"/>
      </w:pPr>
    </w:p>
    <w:p w:rsidR="00000000" w:rsidRPr="002C3E26" w:rsidP="002C3E26">
      <w:pPr>
        <w:pStyle w:val="Heading1"/>
      </w:pPr>
      <w:bookmarkStart w:id="8" w:name="O_1270891"/>
      <w:bookmarkEnd w:id="8"/>
      <w:r w:rsidRPr="002C3E26">
        <w:t>Unit Mapping Information</w:t>
      </w:r>
    </w:p>
    <w:p w:rsidR="00B807DF" w:rsidP="00B807DF">
      <w:pPr>
        <w:pStyle w:val="BodyText"/>
      </w:pPr>
      <w:r w:rsidRPr="002C3E26">
        <w:t xml:space="preserve">Release 1. Supersedes and is equivalent to MEM05019 Weld using gas tungsten arc welding process. </w:t>
      </w:r>
    </w:p>
    <w:p w:rsidR="00000000" w:rsidRPr="002C3E26" w:rsidP="002C3E26">
      <w:pPr>
        <w:pStyle w:val="Heading1"/>
      </w:pPr>
      <w:bookmarkStart w:id="9" w:name="O_1270898"/>
      <w:bookmarkEnd w:id="9"/>
      <w:r w:rsidRPr="002C3E26">
        <w:t>Links</w:t>
      </w:r>
    </w:p>
    <w:p w:rsidR="00000000" w:rsidRPr="002C3E26" w:rsidP="00B807DF">
      <w:pPr>
        <w:pStyle w:val="BodyText"/>
      </w:pPr>
      <w:r w:rsidRPr="002C3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957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3E26" w:rsidP="002C3E26"/>
    <w:sectPr w:rsidSect="002C3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26" w:rsidRPr="00B807DF" w:rsidP="00B80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DF" w:rsidP="002C3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7DF" w:rsidP="002C3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7DF" w:rsidP="002C3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E26" w:rsidRPr="00B807DF" w:rsidP="00B80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DF" w:rsidRPr="002D2AF8" w:rsidP="002C3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MEM05092 Weld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07DF" w:rsidP="002C3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E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906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E26"/>
  </w:style>
  <w:style w:type="character" w:customStyle="1" w:styleId="Heading1Char">
    <w:name w:val="Heading 1 Char"/>
    <w:basedOn w:val="DefaultParagraphFont"/>
    <w:link w:val="Heading1"/>
    <w:rsid w:val="002C3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E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E26"/>
    <w:rPr>
      <w:b/>
      <w:spacing w:val="0"/>
    </w:rPr>
  </w:style>
  <w:style w:type="paragraph" w:customStyle="1" w:styleId="SuperHeading">
    <w:name w:val="SuperHeading"/>
    <w:basedOn w:val="Normal"/>
    <w:rsid w:val="002C3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E26"/>
    <w:rPr>
      <w:i/>
    </w:rPr>
  </w:style>
  <w:style w:type="paragraph" w:styleId="Caption">
    <w:name w:val="caption"/>
    <w:basedOn w:val="BodyText"/>
    <w:next w:val="Normal"/>
    <w:qFormat/>
    <w:rsid w:val="002C3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E26"/>
  </w:style>
  <w:style w:type="paragraph" w:styleId="TableofFigures">
    <w:name w:val="table of figures"/>
    <w:basedOn w:val="Normal"/>
    <w:next w:val="Normal"/>
    <w:semiHidden/>
    <w:rsid w:val="002C3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E26"/>
    <w:rPr>
      <w:rFonts w:ascii="Wingdings" w:hAnsi="Wingdings"/>
    </w:rPr>
  </w:style>
  <w:style w:type="paragraph" w:customStyle="1" w:styleId="TableHeading">
    <w:name w:val="Table Heading"/>
    <w:basedOn w:val="HeadingBase"/>
    <w:rsid w:val="002C3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E26"/>
    <w:rPr>
      <w:color w:val="0033CC"/>
      <w:u w:val="none"/>
    </w:rPr>
  </w:style>
  <w:style w:type="paragraph" w:customStyle="1" w:styleId="BodyTextRight">
    <w:name w:val="Body Text Right"/>
    <w:basedOn w:val="BodyText"/>
    <w:rsid w:val="002C3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E26"/>
    <w:rPr>
      <w:sz w:val="32"/>
    </w:rPr>
  </w:style>
  <w:style w:type="paragraph" w:customStyle="1" w:styleId="HeadingProcedure">
    <w:name w:val="Heading Procedure"/>
    <w:basedOn w:val="HeadingBase"/>
    <w:next w:val="Normal"/>
    <w:rsid w:val="002C3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E26"/>
    <w:pPr>
      <w:spacing w:before="60" w:after="60"/>
    </w:pPr>
  </w:style>
  <w:style w:type="paragraph" w:styleId="ListContinue">
    <w:name w:val="List Continue"/>
    <w:basedOn w:val="List"/>
    <w:rsid w:val="002C3E26"/>
    <w:pPr>
      <w:ind w:firstLine="0"/>
    </w:pPr>
  </w:style>
  <w:style w:type="paragraph" w:customStyle="1" w:styleId="ListNote">
    <w:name w:val="List Note"/>
    <w:basedOn w:val="List"/>
    <w:rsid w:val="002C3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E26"/>
    <w:rPr>
      <w:rFonts w:ascii="Courier New" w:hAnsi="Courier New"/>
    </w:rPr>
  </w:style>
  <w:style w:type="paragraph" w:customStyle="1" w:styleId="NoteBullet">
    <w:name w:val="Note Bullet"/>
    <w:basedOn w:val="Note"/>
    <w:rsid w:val="002C3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E26"/>
    <w:rPr>
      <w:b/>
      <w:smallCaps/>
    </w:rPr>
  </w:style>
  <w:style w:type="paragraph" w:customStyle="1" w:styleId="TableListNumber">
    <w:name w:val="Table List Number"/>
    <w:basedOn w:val="ListNumber"/>
    <w:rsid w:val="002C3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E26"/>
    <w:pPr>
      <w:numPr>
        <w:numId w:val="8"/>
      </w:numPr>
    </w:pPr>
  </w:style>
  <w:style w:type="paragraph" w:customStyle="1" w:styleId="ListAlpha2">
    <w:name w:val="List Alpha 2"/>
    <w:basedOn w:val="List2"/>
    <w:rsid w:val="002C3E26"/>
    <w:pPr>
      <w:numPr>
        <w:numId w:val="7"/>
      </w:numPr>
    </w:pPr>
  </w:style>
  <w:style w:type="paragraph" w:styleId="List2">
    <w:name w:val="List 2"/>
    <w:basedOn w:val="BodyText"/>
    <w:rsid w:val="002C3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E26"/>
    <w:pPr>
      <w:numPr>
        <w:numId w:val="3"/>
      </w:numPr>
    </w:pPr>
  </w:style>
  <w:style w:type="paragraph" w:styleId="ListContinue2">
    <w:name w:val="List Continue 2"/>
    <w:basedOn w:val="List2"/>
    <w:rsid w:val="002C3E26"/>
    <w:pPr>
      <w:ind w:firstLine="0"/>
    </w:pPr>
  </w:style>
  <w:style w:type="paragraph" w:styleId="ListContinue3">
    <w:name w:val="List Continue 3"/>
    <w:basedOn w:val="List3"/>
    <w:rsid w:val="002C3E26"/>
    <w:pPr>
      <w:ind w:left="1021" w:firstLine="0"/>
    </w:pPr>
  </w:style>
  <w:style w:type="paragraph" w:styleId="ListContinue4">
    <w:name w:val="List Continue 4"/>
    <w:basedOn w:val="List4"/>
    <w:rsid w:val="002C3E26"/>
    <w:pPr>
      <w:ind w:firstLine="0"/>
    </w:pPr>
  </w:style>
  <w:style w:type="paragraph" w:styleId="ListContinue5">
    <w:name w:val="List Continue 5"/>
    <w:basedOn w:val="List5"/>
    <w:rsid w:val="002C3E26"/>
    <w:pPr>
      <w:ind w:firstLine="0"/>
    </w:pPr>
  </w:style>
  <w:style w:type="paragraph" w:styleId="ListNumber3">
    <w:name w:val="List Number 3"/>
    <w:basedOn w:val="List3"/>
    <w:rsid w:val="002C3E26"/>
    <w:pPr>
      <w:numPr>
        <w:numId w:val="4"/>
      </w:numPr>
    </w:pPr>
  </w:style>
  <w:style w:type="paragraph" w:styleId="ListNumber4">
    <w:name w:val="List Number 4"/>
    <w:basedOn w:val="List4"/>
    <w:rsid w:val="002C3E26"/>
    <w:pPr>
      <w:numPr>
        <w:numId w:val="5"/>
      </w:numPr>
    </w:pPr>
  </w:style>
  <w:style w:type="paragraph" w:styleId="ListNumber5">
    <w:name w:val="List Number 5"/>
    <w:basedOn w:val="List5"/>
    <w:rsid w:val="002C3E26"/>
    <w:pPr>
      <w:numPr>
        <w:numId w:val="6"/>
      </w:numPr>
    </w:pPr>
  </w:style>
  <w:style w:type="paragraph" w:styleId="BlockText">
    <w:name w:val="Block Text"/>
    <w:basedOn w:val="Normal"/>
    <w:rsid w:val="002C3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E26"/>
    <w:rPr>
      <w:sz w:val="16"/>
      <w:vertAlign w:val="superscript"/>
    </w:rPr>
  </w:style>
  <w:style w:type="character" w:customStyle="1" w:styleId="Symbols">
    <w:name w:val="Symbols"/>
    <w:basedOn w:val="DefaultParagraphFont"/>
    <w:rsid w:val="002C3E26"/>
    <w:rPr>
      <w:rFonts w:ascii="Symbol" w:hAnsi="Symbol"/>
    </w:rPr>
  </w:style>
  <w:style w:type="character" w:customStyle="1" w:styleId="MenuOptions">
    <w:name w:val="Menu Options"/>
    <w:basedOn w:val="DefaultParagraphFont"/>
    <w:rsid w:val="002C3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E26"/>
    <w:rPr>
      <w:b/>
    </w:rPr>
  </w:style>
  <w:style w:type="character" w:customStyle="1" w:styleId="Underlined">
    <w:name w:val="Underlined"/>
    <w:basedOn w:val="DefaultParagraphFont"/>
    <w:rsid w:val="002C3E26"/>
    <w:rPr>
      <w:u w:val="single"/>
    </w:rPr>
  </w:style>
  <w:style w:type="paragraph" w:customStyle="1" w:styleId="TableBodyTextRight">
    <w:name w:val="Table Body Text Right"/>
    <w:basedOn w:val="TableBodyText"/>
    <w:rsid w:val="002C3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E26"/>
    <w:rPr>
      <w:sz w:val="18"/>
    </w:rPr>
  </w:style>
  <w:style w:type="paragraph" w:customStyle="1" w:styleId="BodySmallRight">
    <w:name w:val="Body Small Right"/>
    <w:basedOn w:val="BodyTextRight"/>
    <w:rsid w:val="002C3E26"/>
    <w:rPr>
      <w:sz w:val="18"/>
      <w:szCs w:val="18"/>
    </w:rPr>
  </w:style>
  <w:style w:type="paragraph" w:customStyle="1" w:styleId="MarginEdition">
    <w:name w:val="Margin Edition"/>
    <w:basedOn w:val="MarginNote"/>
    <w:rsid w:val="002C3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E26"/>
    <w:rPr>
      <w:sz w:val="2"/>
      <w:szCs w:val="2"/>
    </w:rPr>
  </w:style>
  <w:style w:type="character" w:customStyle="1" w:styleId="Small">
    <w:name w:val="Small"/>
    <w:basedOn w:val="DefaultParagraphFont"/>
    <w:rsid w:val="002C3E26"/>
    <w:rPr>
      <w:sz w:val="16"/>
    </w:rPr>
  </w:style>
  <w:style w:type="paragraph" w:customStyle="1" w:styleId="WideTable">
    <w:name w:val="Wide Table"/>
    <w:basedOn w:val="Normal"/>
    <w:rsid w:val="002C3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E26"/>
  </w:style>
  <w:style w:type="paragraph" w:styleId="Quote">
    <w:name w:val="Quote"/>
    <w:basedOn w:val="Heading1"/>
    <w:link w:val="QuoteChar"/>
    <w:qFormat/>
    <w:rsid w:val="002C3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E26"/>
    <w:pPr>
      <w:pageBreakBefore/>
    </w:pPr>
  </w:style>
  <w:style w:type="paragraph" w:customStyle="1" w:styleId="Border">
    <w:name w:val="Border"/>
    <w:basedOn w:val="Normal"/>
    <w:qFormat/>
    <w:rsid w:val="002C3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E26"/>
    <w:rPr>
      <w:u w:val="single"/>
    </w:rPr>
  </w:style>
  <w:style w:type="character" w:customStyle="1" w:styleId="BoldandItalics">
    <w:name w:val="Bold and Italics"/>
    <w:qFormat/>
    <w:rsid w:val="002C3E26"/>
    <w:rPr>
      <w:b/>
      <w:i/>
      <w:u w:val="none"/>
    </w:rPr>
  </w:style>
  <w:style w:type="paragraph" w:styleId="BalloonText">
    <w:name w:val="Balloon Text"/>
    <w:basedOn w:val="Normal"/>
    <w:link w:val="BalloonTextChar"/>
    <w:rsid w:val="002C3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E26"/>
    <w:pPr>
      <w:spacing w:before="0" w:after="0"/>
    </w:pPr>
  </w:style>
  <w:style w:type="paragraph" w:customStyle="1" w:styleId="BodyTextBold">
    <w:name w:val="Body Text Bold"/>
    <w:basedOn w:val="BodyText"/>
    <w:qFormat/>
    <w:rsid w:val="002C3E26"/>
    <w:rPr>
      <w:b/>
    </w:rPr>
  </w:style>
  <w:style w:type="character" w:styleId="Hyperlink">
    <w:name w:val="Hyperlink"/>
    <w:basedOn w:val="DefaultParagraphFont"/>
    <w:uiPriority w:val="99"/>
    <w:unhideWhenUsed/>
    <w:rsid w:val="00B80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4197</Characters>
  <Application>Microsoft Office Word</Application>
  <DocSecurity>0</DocSecurity>
  <Lines>144</Lines>
  <Paragraphs>103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MEM05092 Weld using gas tungsten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