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ABC" w:rsidP="00CE5A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MEM05085 Select welding processes</w:t>
      </w:r>
      <w:r>
        <w:fldChar w:fldCharType="end"/>
      </w:r>
    </w:p>
    <w:p w:rsidR="00CE5ABC" w:rsidP="00CE5ABC">
      <w:pPr>
        <w:pStyle w:val="Version"/>
        <w:sectPr w:rsidSect="007A0B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0BAE" w:rsidP="007A0BAE">
      <w:pPr>
        <w:pStyle w:val="SuperHeading"/>
      </w:pPr>
      <w:r w:rsidRPr="007A0BAE">
        <w:t>MEM05085 Select welding processes</w:t>
      </w:r>
    </w:p>
    <w:p w:rsidR="00000000" w:rsidRPr="007A0BAE" w:rsidP="007A0BAE">
      <w:pPr>
        <w:pStyle w:val="Heading1"/>
      </w:pPr>
      <w:bookmarkStart w:id="1" w:name="O_1270750"/>
      <w:bookmarkEnd w:id="1"/>
      <w:r w:rsidRPr="007A0BAE">
        <w:t>Modification History</w:t>
      </w:r>
    </w:p>
    <w:p w:rsidR="00000000" w:rsidRPr="007A0BAE" w:rsidP="00CE5ABC">
      <w:pPr>
        <w:pStyle w:val="BodyText"/>
      </w:pPr>
      <w:r w:rsidRPr="007A0BAE">
        <w:t xml:space="preserve">Release 1. Unit code changed. Changes to elements and performance criteria, performance evidence and knowledge evidence. Supersedes and is not equivalent to MEM05051 Select welding processes. </w:t>
      </w:r>
    </w:p>
    <w:p w:rsidR="00000000" w:rsidRPr="007A0BAE" w:rsidP="007A0BAE">
      <w:pPr>
        <w:pStyle w:val="Heading1"/>
      </w:pPr>
      <w:bookmarkStart w:id="2" w:name="O_1270751"/>
      <w:bookmarkEnd w:id="2"/>
      <w:r w:rsidRPr="007A0BAE">
        <w:t>Application</w:t>
      </w:r>
    </w:p>
    <w:p w:rsidR="00000000" w:rsidRPr="007A0BAE" w:rsidP="00CE5ABC">
      <w:pPr>
        <w:pStyle w:val="BodyText"/>
      </w:pPr>
      <w:r w:rsidRPr="007A0BAE">
        <w:t>This unit o</w:t>
      </w:r>
      <w:r w:rsidRPr="007A0BAE">
        <w:t>f competency was developed for engineering fabrication trade training and the recognition of trade skills in selecting welding processes.</w:t>
      </w:r>
    </w:p>
    <w:p w:rsidR="00000000" w:rsidRPr="007A0BAE" w:rsidP="00CE5ABC">
      <w:pPr>
        <w:pStyle w:val="BodyText"/>
      </w:pPr>
      <w:r w:rsidRPr="007A0BAE">
        <w:t>It defines the skills and knowledge required to identify basic material properties and select appropriate welding proc</w:t>
      </w:r>
      <w:r w:rsidRPr="007A0BAE">
        <w:t>esses to produce welds that conform to AS 1554 General Purpose (GP) and American Bureau of Shipping (ABS) or equivalent as defined by the unit in conjunction with its prerequisites.</w:t>
      </w:r>
    </w:p>
    <w:p w:rsidR="00000000" w:rsidRPr="007A0BAE" w:rsidP="00CE5ABC">
      <w:pPr>
        <w:pStyle w:val="BodyText"/>
      </w:pPr>
      <w:r w:rsidRPr="007A0BAE">
        <w:t>The unit includes all welding processes within the scope of AS 1554 GP and</w:t>
      </w:r>
      <w:r w:rsidRPr="007A0BAE">
        <w:t xml:space="preserve"> the identification of basic properties and characteristics of all commonly welded metals to the extent required to inform the selection of appropriate welding processes.</w:t>
      </w:r>
    </w:p>
    <w:p w:rsidR="00000000" w:rsidRPr="007A0BAE" w:rsidP="00CE5ABC">
      <w:pPr>
        <w:pStyle w:val="BodyText"/>
      </w:pPr>
      <w:r w:rsidRPr="007A0BAE">
        <w:t>This unit must be selected in combination with one or more of the following units:</w:t>
      </w:r>
    </w:p>
    <w:p w:rsidR="00000000" w:rsidRPr="007A0BAE" w:rsidP="007A0BAE">
      <w:pPr>
        <w:pStyle w:val="ListBullet"/>
      </w:pPr>
      <w:r w:rsidRPr="007A0BAE">
        <w:t>M</w:t>
      </w:r>
      <w:r w:rsidRPr="007A0BAE">
        <w:t>EM05090 Weld using manual metal arc welding process</w:t>
      </w:r>
    </w:p>
    <w:p w:rsidR="00000000" w:rsidRPr="007A0BAE" w:rsidP="007A0BAE">
      <w:pPr>
        <w:pStyle w:val="ListBullet"/>
      </w:pPr>
      <w:r w:rsidRPr="007A0BAE">
        <w:t>MEM05091 Weld using gas metal arc welding process</w:t>
      </w:r>
    </w:p>
    <w:p w:rsidR="00000000" w:rsidRPr="007A0BAE" w:rsidP="007A0BAE">
      <w:pPr>
        <w:pStyle w:val="ListBullet"/>
      </w:pPr>
      <w:r w:rsidRPr="007A0BAE">
        <w:t>MEM05092 Weld using gas tungsten arc welding process</w:t>
      </w:r>
    </w:p>
    <w:p w:rsidR="00000000" w:rsidRPr="007A0BAE" w:rsidP="007A0BAE">
      <w:pPr>
        <w:pStyle w:val="ListBullet"/>
      </w:pPr>
      <w:r w:rsidRPr="007A0BAE">
        <w:t>MEM05093 Weld using submerged arc welding process</w:t>
      </w:r>
    </w:p>
    <w:p w:rsidR="00000000" w:rsidRPr="007A0BAE" w:rsidP="007A0BAE">
      <w:pPr>
        <w:pStyle w:val="ListBullet"/>
      </w:pPr>
      <w:r w:rsidRPr="007A0BAE">
        <w:t>MEM05096 Weld using flux core arc welding process</w:t>
      </w:r>
    </w:p>
    <w:p w:rsidR="00000000" w:rsidRPr="007A0BAE" w:rsidP="007A0BAE">
      <w:pPr>
        <w:pStyle w:val="ListBullet"/>
      </w:pPr>
      <w:r w:rsidRPr="007A0BAE">
        <w:t>M</w:t>
      </w:r>
      <w:r w:rsidRPr="007A0BAE">
        <w:t>EM05097 Weld using oxy fuel gas welding process.</w:t>
      </w:r>
    </w:p>
    <w:p w:rsidR="00000000" w:rsidRPr="007A0BAE" w:rsidP="007A0BAE">
      <w:pPr>
        <w:pStyle w:val="BodyText"/>
      </w:pPr>
    </w:p>
    <w:p w:rsidR="00000000" w:rsidRPr="007A0BAE" w:rsidP="00CE5ABC">
      <w:pPr>
        <w:pStyle w:val="BodyText"/>
      </w:pPr>
      <w:r w:rsidRPr="007A0BAE">
        <w:t>No licensing, legislative or certification requirements apply to this unit at the time of publication.</w:t>
      </w:r>
    </w:p>
    <w:p w:rsidR="00000000" w:rsidRPr="007A0BAE" w:rsidP="00CE5ABC">
      <w:pPr>
        <w:pStyle w:val="Heading4"/>
      </w:pPr>
      <w:r w:rsidRPr="007A0BAE">
        <w:rPr>
          <w:rStyle w:val="SpecialBold"/>
        </w:rPr>
        <w:t>Band: A</w:t>
      </w:r>
    </w:p>
    <w:p w:rsidR="00000000" w:rsidRPr="007A0BAE" w:rsidP="00CE5ABC">
      <w:pPr>
        <w:pStyle w:val="Heading4"/>
      </w:pPr>
      <w:r w:rsidRPr="007A0BAE">
        <w:rPr>
          <w:rStyle w:val="SpecialBold"/>
        </w:rPr>
        <w:t>Unit Weight: 2</w:t>
      </w:r>
    </w:p>
    <w:p w:rsidR="00000000" w:rsidRPr="007A0BAE" w:rsidP="007A0BAE">
      <w:pPr>
        <w:pStyle w:val="Heading1"/>
      </w:pPr>
      <w:bookmarkStart w:id="3" w:name="O_1270752"/>
      <w:bookmarkEnd w:id="3"/>
      <w:r w:rsidRPr="007A0BAE">
        <w:t>Pre-requisite Unit</w:t>
      </w:r>
    </w:p>
    <w:p w:rsidR="00000000" w:rsidRPr="007A0BAE" w:rsidP="00CE5ABC">
      <w:pPr>
        <w:pStyle w:val="BodyText"/>
      </w:pPr>
      <w:r w:rsidRPr="007A0BAE">
        <w:t>MEM13015 Work safely and effectively in ma</w:t>
      </w:r>
      <w:r w:rsidRPr="007A0BAE">
        <w:t>nufacturing and engineering</w:t>
      </w:r>
    </w:p>
    <w:p w:rsidR="00000000" w:rsidRPr="007A0BAE" w:rsidP="00CE5ABC">
      <w:pPr>
        <w:pStyle w:val="BodyText"/>
      </w:pPr>
      <w:r w:rsidRPr="007A0BAE">
        <w:t>MEM16006 Organise and communicate information</w:t>
      </w:r>
    </w:p>
    <w:p w:rsidR="00000000" w:rsidRPr="007A0BAE" w:rsidP="007A0BAE">
      <w:pPr>
        <w:pStyle w:val="Heading1"/>
      </w:pPr>
      <w:bookmarkStart w:id="4" w:name="O_1270753"/>
      <w:bookmarkEnd w:id="4"/>
      <w:r w:rsidRPr="007A0BAE">
        <w:t>Competency Field</w:t>
      </w:r>
    </w:p>
    <w:p w:rsidR="00000000" w:rsidRPr="007A0BAE" w:rsidP="00CE5ABC">
      <w:pPr>
        <w:pStyle w:val="BodyText"/>
      </w:pPr>
      <w:r w:rsidRPr="007A0BAE">
        <w:t>Fabrication</w:t>
      </w:r>
    </w:p>
    <w:p w:rsidR="00000000" w:rsidRPr="007A0BAE" w:rsidP="007A0BAE">
      <w:pPr>
        <w:pStyle w:val="Heading1"/>
      </w:pPr>
      <w:bookmarkStart w:id="5" w:name="O_1270755"/>
      <w:bookmarkEnd w:id="5"/>
      <w:r w:rsidRPr="007A0BA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E5A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AE" w:rsidP="007A0BAE">
            <w:pPr>
              <w:pStyle w:val="BodyText"/>
            </w:pPr>
            <w:r w:rsidRPr="007A0BA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AE">
            <w:pPr>
              <w:pStyle w:val="BodyText"/>
              <w:rPr>
                <w:lang w:val="en-NZ"/>
              </w:rPr>
            </w:pPr>
            <w:r w:rsidRPr="007A0BAE">
              <w:rPr>
                <w:rStyle w:val="SpecialBold"/>
              </w:rPr>
              <w:t>Performance Criteria</w:t>
            </w:r>
          </w:p>
        </w:tc>
      </w:tr>
      <w:tr w:rsidTr="00CE5A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AE">
            <w:pPr>
              <w:pStyle w:val="BodyText"/>
              <w:rPr>
                <w:lang w:val="en-NZ"/>
              </w:rPr>
            </w:pPr>
            <w:r w:rsidRPr="007A0BA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AE">
            <w:pPr>
              <w:pStyle w:val="BodyText"/>
              <w:rPr>
                <w:lang w:val="en-NZ"/>
              </w:rPr>
            </w:pPr>
            <w:r w:rsidRPr="007A0BAE">
              <w:t>Performance criteria describe the performance needed to demonstrate achievement of the element.</w:t>
            </w:r>
          </w:p>
        </w:tc>
      </w:tr>
      <w:tr w:rsidTr="00CE5A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E5ABC" w:rsidP="007A0BAE">
            <w:pPr>
              <w:pStyle w:val="BodyText"/>
            </w:pPr>
            <w:r w:rsidRPr="007A0BAE">
              <w:t>1. Determine job requirements</w:t>
            </w:r>
          </w:p>
          <w:p w:rsidR="00CE5ABC" w:rsidP="007A0BAE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AE" w:rsidP="007A0BAE">
            <w:pPr>
              <w:pStyle w:val="BodyText"/>
            </w:pPr>
            <w:r w:rsidRPr="007A0BAE">
              <w:t>1.1 Follow standard operating procedures (SOPs)</w:t>
            </w:r>
          </w:p>
          <w:p w:rsidR="00000000" w:rsidRPr="007A0BAE" w:rsidP="007A0BAE">
            <w:pPr>
              <w:pStyle w:val="BodyText"/>
            </w:pPr>
            <w:r w:rsidRPr="007A0BAE">
              <w:t>1.2 Comply with work health and safety (WHS) requirements at all times</w:t>
            </w:r>
          </w:p>
          <w:p w:rsidR="00000000" w:rsidRPr="007A0BAE" w:rsidP="007A0BAE">
            <w:pPr>
              <w:pStyle w:val="BodyText"/>
            </w:pPr>
            <w:r w:rsidRPr="007A0BAE">
              <w:t>1.3 Use appropriate personal protective equipment (PPE) in accordance with SOPs</w:t>
            </w:r>
          </w:p>
          <w:p w:rsidR="00000000" w:rsidP="007A0BAE">
            <w:pPr>
              <w:pStyle w:val="BodyText"/>
              <w:rPr>
                <w:lang w:val="en-NZ"/>
              </w:rPr>
            </w:pPr>
            <w:r w:rsidRPr="007A0BAE">
              <w:t>1.4 Identify job requirements from specifications, job sheets or work instructions</w:t>
            </w:r>
          </w:p>
        </w:tc>
      </w:tr>
      <w:tr w:rsidTr="00CE5A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AE">
            <w:pPr>
              <w:pStyle w:val="BodyText"/>
              <w:rPr>
                <w:lang w:val="en-NZ"/>
              </w:rPr>
            </w:pPr>
            <w:r w:rsidRPr="007A0BAE">
              <w:t>2. Identify properties of commonly used metals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AE" w:rsidP="007A0BAE">
            <w:pPr>
              <w:pStyle w:val="BodyText"/>
            </w:pPr>
            <w:r w:rsidRPr="007A0BAE">
              <w:t xml:space="preserve">2.1 Identify materials to be welded </w:t>
            </w:r>
          </w:p>
          <w:p w:rsidR="00000000" w:rsidRPr="007A0BAE" w:rsidP="007A0BAE">
            <w:pPr>
              <w:pStyle w:val="BodyText"/>
            </w:pPr>
            <w:r w:rsidRPr="007A0BAE">
              <w:t>2.2 Iden</w:t>
            </w:r>
            <w:r w:rsidRPr="007A0BAE">
              <w:t>tify characteristics and properties of commonly used materials</w:t>
            </w:r>
          </w:p>
          <w:p w:rsidR="00000000" w:rsidRPr="007A0BAE" w:rsidP="007A0BAE">
            <w:pPr>
              <w:pStyle w:val="BodyText"/>
            </w:pPr>
            <w:r w:rsidRPr="007A0BAE">
              <w:t>2.3 Identify uses and purposes of commonly used materials</w:t>
            </w:r>
          </w:p>
          <w:p w:rsidR="00000000" w:rsidP="007A0BAE">
            <w:pPr>
              <w:pStyle w:val="BodyText"/>
              <w:rPr>
                <w:lang w:val="en-NZ"/>
              </w:rPr>
            </w:pPr>
            <w:r w:rsidRPr="007A0BAE">
              <w:t>2.4 Consider basic metallurgical characteristics of job requirements</w:t>
            </w:r>
          </w:p>
        </w:tc>
      </w:tr>
      <w:tr w:rsidTr="00CE5A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AE">
            <w:pPr>
              <w:pStyle w:val="BodyText"/>
              <w:rPr>
                <w:lang w:val="en-NZ"/>
              </w:rPr>
            </w:pPr>
            <w:r w:rsidRPr="007A0BAE">
              <w:t>3. Identify and provide for welding contingencies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AE" w:rsidP="007A0BAE">
            <w:pPr>
              <w:pStyle w:val="BodyText"/>
            </w:pPr>
            <w:r w:rsidRPr="007A0BAE">
              <w:t>3.1 Source Info</w:t>
            </w:r>
            <w:r w:rsidRPr="007A0BAE">
              <w:t>rmation relevant to welding processes to meet job requirements</w:t>
            </w:r>
          </w:p>
          <w:p w:rsidR="00000000" w:rsidP="007A0BAE">
            <w:pPr>
              <w:pStyle w:val="BodyText"/>
              <w:rPr>
                <w:lang w:val="en-NZ"/>
              </w:rPr>
            </w:pPr>
            <w:r w:rsidRPr="007A0BAE">
              <w:t xml:space="preserve">3.2 Identify potential contingencies and consider solutions </w:t>
            </w:r>
          </w:p>
        </w:tc>
      </w:tr>
      <w:tr w:rsidTr="00CE5A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AE">
            <w:pPr>
              <w:pStyle w:val="BodyText"/>
              <w:rPr>
                <w:lang w:val="en-NZ"/>
              </w:rPr>
            </w:pPr>
            <w:r w:rsidRPr="007A0BAE">
              <w:t>4. Identify appropriate welding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AE" w:rsidP="007A0BAE">
            <w:pPr>
              <w:pStyle w:val="BodyText"/>
            </w:pPr>
            <w:r w:rsidRPr="007A0BAE">
              <w:t>4.1 Identify effects of welding processes on materials being used for the job</w:t>
            </w:r>
          </w:p>
          <w:p w:rsidR="00000000" w:rsidRPr="007A0BAE" w:rsidP="007A0BAE">
            <w:pPr>
              <w:pStyle w:val="BodyText"/>
            </w:pPr>
            <w:r w:rsidRPr="007A0BAE">
              <w:t xml:space="preserve">4.2 Identify </w:t>
            </w:r>
            <w:r w:rsidRPr="007A0BAE">
              <w:t>distortion prevention measures</w:t>
            </w:r>
          </w:p>
          <w:p w:rsidR="00000000" w:rsidRPr="007A0BAE" w:rsidP="007A0BAE">
            <w:pPr>
              <w:pStyle w:val="BodyText"/>
            </w:pPr>
            <w:r w:rsidRPr="007A0BAE">
              <w:t xml:space="preserve">4.3 Identify situations where alternative joining methods may be more appropriate than welding </w:t>
            </w:r>
          </w:p>
          <w:p w:rsidR="00000000" w:rsidRPr="007A0BAE" w:rsidP="007A0BAE">
            <w:pPr>
              <w:pStyle w:val="BodyText"/>
            </w:pPr>
            <w:r w:rsidRPr="007A0BAE">
              <w:t>4.4 Identify and select welding processes to achieve specified outcomes with selected metals</w:t>
            </w:r>
          </w:p>
        </w:tc>
      </w:tr>
    </w:tbl>
    <w:p w:rsidR="00000000" w:rsidRPr="007A0BAE" w:rsidP="007A0BAE">
      <w:pPr>
        <w:pStyle w:val="BodyText"/>
      </w:pPr>
    </w:p>
    <w:p w:rsidR="00000000" w:rsidRPr="007A0BAE" w:rsidP="007A0BAE">
      <w:pPr>
        <w:pStyle w:val="AllowPageBreak"/>
      </w:pPr>
    </w:p>
    <w:p w:rsidR="00000000" w:rsidRPr="007A0BAE" w:rsidP="007A0BAE">
      <w:pPr>
        <w:pStyle w:val="Heading1"/>
      </w:pPr>
      <w:bookmarkStart w:id="6" w:name="O_1270756"/>
      <w:bookmarkEnd w:id="6"/>
      <w:r w:rsidRPr="007A0BAE">
        <w:t>Foundation Skills</w:t>
      </w:r>
    </w:p>
    <w:p w:rsidR="00000000" w:rsidRPr="007A0BAE" w:rsidP="00CE5ABC">
      <w:pPr>
        <w:pStyle w:val="BodyText"/>
      </w:pPr>
      <w:r w:rsidRPr="007A0BAE">
        <w:t>This section describes those language, literacy, numeracy and employment skills that are essential to performance but not explicit in the performance criteria.</w:t>
      </w:r>
    </w:p>
    <w:p w:rsidR="00000000" w:rsidRPr="007A0BAE" w:rsidP="00CE5ABC">
      <w:pPr>
        <w:pStyle w:val="BodyText"/>
      </w:pPr>
      <w:r w:rsidRPr="007A0BAE">
        <w:t>Foundation skills essential to performance are explicit in the performance cri</w:t>
      </w:r>
      <w:r w:rsidRPr="007A0BAE">
        <w:t>teria of this unit of competency.</w:t>
      </w:r>
    </w:p>
    <w:p w:rsidR="00000000" w:rsidRPr="007A0BAE" w:rsidP="007A0BAE">
      <w:pPr>
        <w:pStyle w:val="Heading1"/>
      </w:pPr>
      <w:bookmarkStart w:id="7" w:name="O_1270757"/>
      <w:bookmarkEnd w:id="7"/>
      <w:r w:rsidRPr="007A0BAE">
        <w:t>Range of Conditions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919"/>
      </w:tblGrid>
      <w:tr w:rsidTr="007A0BA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AE">
            <w:pPr>
              <w:pStyle w:val="BodyText"/>
              <w:rPr>
                <w:lang w:val="en-NZ"/>
              </w:rPr>
            </w:pPr>
            <w:r w:rsidRPr="007A0BAE">
              <w:t>This field allows for different work environments and conditions that may affect performance. Essential operating conditions that may be present (depending on the work situation, nee</w:t>
            </w:r>
            <w:r w:rsidRPr="007A0BAE">
              <w:t>ds of the candidate, accessibility of the item, and local industry and regional contexts) are included.</w:t>
            </w:r>
          </w:p>
        </w:tc>
      </w:tr>
      <w:tr w:rsidTr="007A0BA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AE">
            <w:pPr>
              <w:pStyle w:val="BodyText"/>
              <w:rPr>
                <w:lang w:val="en-NZ"/>
              </w:rPr>
            </w:pPr>
            <w:r w:rsidRPr="007A0BAE">
              <w:t>Basic metallurgical characteristics include: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AE">
            <w:pPr>
              <w:pStyle w:val="BodyText"/>
              <w:rPr>
                <w:lang w:val="en-NZ"/>
              </w:rPr>
            </w:pPr>
            <w:r w:rsidRPr="007A0BAE">
              <w:t>alloys and grades of metals and different types of fuel and shielding gases, fluxes, and electrodes.</w:t>
            </w:r>
          </w:p>
        </w:tc>
      </w:tr>
      <w:tr w:rsidTr="007A0BA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AE">
            <w:pPr>
              <w:pStyle w:val="BodyText"/>
              <w:rPr>
                <w:lang w:val="en-NZ"/>
              </w:rPr>
            </w:pPr>
            <w:r w:rsidRPr="007A0BAE">
              <w:t>Reference information includes one or more of the following: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AE" w:rsidP="007A0BAE">
            <w:pPr>
              <w:pStyle w:val="ListBullet"/>
            </w:pPr>
            <w:r w:rsidRPr="007A0BAE">
              <w:t>steel suppliers’ handbooks</w:t>
            </w:r>
          </w:p>
          <w:p w:rsidR="00000000" w:rsidRPr="007A0BAE" w:rsidP="007A0BAE">
            <w:pPr>
              <w:pStyle w:val="ListBullet"/>
            </w:pPr>
            <w:r w:rsidRPr="007A0BAE">
              <w:t>welding company materials</w:t>
            </w:r>
          </w:p>
          <w:p w:rsidR="00000000" w:rsidRPr="007A0BAE" w:rsidP="007A0BAE">
            <w:pPr>
              <w:pStyle w:val="ListBullet"/>
            </w:pPr>
            <w:r w:rsidRPr="007A0BAE">
              <w:t>SOPs</w:t>
            </w:r>
          </w:p>
          <w:p w:rsidR="00000000" w:rsidP="007A0BAE">
            <w:pPr>
              <w:pStyle w:val="ListBullet"/>
              <w:rPr>
                <w:lang w:val="en-NZ"/>
              </w:rPr>
            </w:pPr>
            <w:r w:rsidRPr="007A0BAE">
              <w:t>safety documentation.</w:t>
            </w:r>
          </w:p>
        </w:tc>
      </w:tr>
      <w:tr w:rsidTr="007A0BA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AE">
            <w:pPr>
              <w:pStyle w:val="BodyText"/>
              <w:rPr>
                <w:lang w:val="en-NZ"/>
              </w:rPr>
            </w:pPr>
            <w:r w:rsidRPr="007A0BAE">
              <w:t>Welding processes include one or more of the following: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AE" w:rsidP="007A0BAE">
            <w:pPr>
              <w:pStyle w:val="ListBullet"/>
            </w:pPr>
            <w:r w:rsidRPr="007A0BAE">
              <w:t>fusion – electric arc welding, gas (oxy-fuel) welding an</w:t>
            </w:r>
            <w:r w:rsidRPr="007A0BAE">
              <w:t>d thermit welding</w:t>
            </w:r>
          </w:p>
          <w:p w:rsidR="00000000" w:rsidRPr="007A0BAE" w:rsidP="007A0BAE">
            <w:pPr>
              <w:pStyle w:val="ListBullet"/>
            </w:pPr>
            <w:r w:rsidRPr="007A0BAE">
              <w:t>pressure welding processes – resistance welding, fire or forge welding, friction welding and explosive welding</w:t>
            </w:r>
          </w:p>
          <w:p w:rsidR="00000000" w:rsidRPr="007A0BAE" w:rsidP="007A0BAE">
            <w:pPr>
              <w:pStyle w:val="ListBullet"/>
            </w:pPr>
            <w:r w:rsidRPr="007A0BAE">
              <w:t>low temperature processes – soldering and brazing</w:t>
            </w:r>
          </w:p>
          <w:p w:rsidR="00000000" w:rsidP="007A0BAE">
            <w:pPr>
              <w:pStyle w:val="ListBullet"/>
              <w:rPr>
                <w:lang w:val="en-NZ"/>
              </w:rPr>
            </w:pPr>
            <w:r w:rsidRPr="007A0BAE">
              <w:t>other – ultrasonic welding and electron beam welding.</w:t>
            </w:r>
          </w:p>
        </w:tc>
      </w:tr>
      <w:tr w:rsidTr="007A0BA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AE">
            <w:pPr>
              <w:pStyle w:val="BodyText"/>
              <w:rPr>
                <w:lang w:val="en-NZ"/>
              </w:rPr>
            </w:pPr>
            <w:r w:rsidRPr="007A0BAE">
              <w:t>Effects include one or</w:t>
            </w:r>
            <w:r w:rsidRPr="007A0BAE">
              <w:t xml:space="preserve"> more of the following: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AE" w:rsidP="007A0BAE">
            <w:pPr>
              <w:pStyle w:val="ListBullet"/>
            </w:pPr>
            <w:r w:rsidRPr="007A0BAE">
              <w:t>thermal expansion</w:t>
            </w:r>
          </w:p>
          <w:p w:rsidR="00000000" w:rsidRPr="007A0BAE" w:rsidP="007A0BAE">
            <w:pPr>
              <w:pStyle w:val="ListBullet"/>
            </w:pPr>
            <w:r w:rsidRPr="007A0BAE">
              <w:t>heat affected zones</w:t>
            </w:r>
          </w:p>
          <w:p w:rsidR="00000000" w:rsidRPr="007A0BAE" w:rsidP="007A0BAE">
            <w:pPr>
              <w:pStyle w:val="ListBullet"/>
            </w:pPr>
            <w:r w:rsidRPr="007A0BAE">
              <w:t>fume emissions</w:t>
            </w:r>
          </w:p>
          <w:p w:rsidR="00000000" w:rsidRPr="007A0BAE" w:rsidP="007A0BAE">
            <w:pPr>
              <w:pStyle w:val="ListBullet"/>
            </w:pPr>
            <w:r w:rsidRPr="007A0BAE">
              <w:t>altered density</w:t>
            </w:r>
          </w:p>
          <w:p w:rsidR="00000000" w:rsidP="007A0BAE">
            <w:pPr>
              <w:pStyle w:val="ListBullet"/>
              <w:rPr>
                <w:lang w:val="en-NZ"/>
              </w:rPr>
            </w:pPr>
            <w:r w:rsidRPr="007A0BAE">
              <w:t>distortion.</w:t>
            </w:r>
          </w:p>
        </w:tc>
      </w:tr>
      <w:tr w:rsidTr="007A0BA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AE">
            <w:pPr>
              <w:pStyle w:val="BodyText"/>
              <w:rPr>
                <w:lang w:val="en-NZ"/>
              </w:rPr>
            </w:pPr>
            <w:r w:rsidRPr="007A0BAE">
              <w:t>Distortion prevention measures include one or more of the following: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AE" w:rsidP="007A0BAE">
            <w:pPr>
              <w:pStyle w:val="ListBullet"/>
            </w:pPr>
            <w:r w:rsidRPr="007A0BAE">
              <w:t>heat treatments</w:t>
            </w:r>
          </w:p>
          <w:p w:rsidR="00000000" w:rsidRPr="007A0BAE" w:rsidP="007A0BAE">
            <w:pPr>
              <w:pStyle w:val="ListBullet"/>
            </w:pPr>
            <w:r w:rsidRPr="007A0BAE">
              <w:t>consolidations.</w:t>
            </w:r>
          </w:p>
          <w:p w:rsidR="00000000" w:rsidRPr="007A0BAE" w:rsidP="007A0BAE">
            <w:pPr>
              <w:pStyle w:val="BodyText"/>
            </w:pPr>
          </w:p>
        </w:tc>
      </w:tr>
    </w:tbl>
    <w:p w:rsidR="00000000" w:rsidRPr="007A0BAE" w:rsidP="007A0BAE">
      <w:pPr>
        <w:pStyle w:val="BodyText"/>
      </w:pPr>
    </w:p>
    <w:p w:rsidR="00000000" w:rsidRPr="007A0BAE" w:rsidP="007A0BAE">
      <w:pPr>
        <w:pStyle w:val="AllowPageBreak"/>
      </w:pPr>
    </w:p>
    <w:p w:rsidR="00000000" w:rsidRPr="007A0BAE" w:rsidP="007A0BAE">
      <w:pPr>
        <w:pStyle w:val="Heading1"/>
      </w:pPr>
      <w:bookmarkStart w:id="8" w:name="O_1270758"/>
      <w:bookmarkEnd w:id="8"/>
      <w:r w:rsidRPr="007A0BAE">
        <w:t>Unit Mapping Information</w:t>
      </w:r>
    </w:p>
    <w:p w:rsidR="00000000" w:rsidRPr="007A0BAE" w:rsidP="00CE5ABC">
      <w:pPr>
        <w:pStyle w:val="BodyText"/>
      </w:pPr>
      <w:r w:rsidRPr="007A0BAE">
        <w:t>No equivalent unit.</w:t>
      </w:r>
    </w:p>
    <w:p w:rsidR="00000000" w:rsidRPr="007A0BAE" w:rsidP="007A0BAE">
      <w:pPr>
        <w:pStyle w:val="Heading1"/>
      </w:pPr>
      <w:bookmarkStart w:id="9" w:name="O_1270765"/>
      <w:bookmarkEnd w:id="9"/>
      <w:r w:rsidRPr="007A0BAE">
        <w:t>Links</w:t>
      </w:r>
    </w:p>
    <w:p w:rsidR="00000000" w:rsidRPr="007A0BAE" w:rsidP="00CE5ABC">
      <w:pPr>
        <w:pStyle w:val="BodyText"/>
      </w:pPr>
      <w:r w:rsidRPr="007A0B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6251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A0BAE" w:rsidP="007A0BAE"/>
    <w:sectPr w:rsidSect="007A0B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AE" w:rsidRPr="00CE5ABC" w:rsidP="00CE5A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BC" w:rsidP="007A0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5ABC" w:rsidP="007A0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E5ABC" w:rsidP="007A0B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BAE" w:rsidRPr="00CE5ABC" w:rsidP="00CE5A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BC" w:rsidRPr="002D2AF8" w:rsidP="007A0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MEM05085 Select welding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E5ABC" w:rsidP="007A0B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049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E4F5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B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B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B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B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B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B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B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B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B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B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BAE"/>
  </w:style>
  <w:style w:type="character" w:customStyle="1" w:styleId="Heading1Char">
    <w:name w:val="Heading 1 Char"/>
    <w:basedOn w:val="DefaultParagraphFont"/>
    <w:link w:val="Heading1"/>
    <w:rsid w:val="007A0B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B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B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0B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0BAE"/>
    <w:rPr>
      <w:b/>
      <w:spacing w:val="0"/>
    </w:rPr>
  </w:style>
  <w:style w:type="paragraph" w:customStyle="1" w:styleId="SuperHeading">
    <w:name w:val="SuperHeading"/>
    <w:basedOn w:val="Normal"/>
    <w:rsid w:val="007A0B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0B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0B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B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B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B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B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B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B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B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B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B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B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B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B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B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0B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0B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0B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B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B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0B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0B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B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B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B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B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B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B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B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B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0BAE"/>
    <w:rPr>
      <w:i/>
    </w:rPr>
  </w:style>
  <w:style w:type="paragraph" w:styleId="Caption">
    <w:name w:val="caption"/>
    <w:basedOn w:val="BodyText"/>
    <w:next w:val="Normal"/>
    <w:qFormat/>
    <w:rsid w:val="007A0B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B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B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BAE"/>
  </w:style>
  <w:style w:type="paragraph" w:styleId="TableofFigures">
    <w:name w:val="table of figures"/>
    <w:basedOn w:val="Normal"/>
    <w:next w:val="Normal"/>
    <w:semiHidden/>
    <w:rsid w:val="007A0B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B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0BAE"/>
    <w:rPr>
      <w:rFonts w:ascii="Wingdings" w:hAnsi="Wingdings"/>
    </w:rPr>
  </w:style>
  <w:style w:type="paragraph" w:customStyle="1" w:styleId="TableHeading">
    <w:name w:val="Table Heading"/>
    <w:basedOn w:val="HeadingBase"/>
    <w:rsid w:val="007A0B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BAE"/>
    <w:rPr>
      <w:color w:val="0033CC"/>
      <w:u w:val="none"/>
    </w:rPr>
  </w:style>
  <w:style w:type="paragraph" w:customStyle="1" w:styleId="BodyTextRight">
    <w:name w:val="Body Text Right"/>
    <w:basedOn w:val="BodyText"/>
    <w:rsid w:val="007A0B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B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B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B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B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B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BAE"/>
    <w:rPr>
      <w:sz w:val="32"/>
    </w:rPr>
  </w:style>
  <w:style w:type="paragraph" w:customStyle="1" w:styleId="HeadingProcedure">
    <w:name w:val="Heading Procedure"/>
    <w:basedOn w:val="HeadingBase"/>
    <w:next w:val="Normal"/>
    <w:rsid w:val="007A0B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BAE"/>
    <w:pPr>
      <w:spacing w:before="60" w:after="60"/>
    </w:pPr>
  </w:style>
  <w:style w:type="paragraph" w:styleId="ListContinue">
    <w:name w:val="List Continue"/>
    <w:basedOn w:val="List"/>
    <w:rsid w:val="007A0BAE"/>
    <w:pPr>
      <w:ind w:firstLine="0"/>
    </w:pPr>
  </w:style>
  <w:style w:type="paragraph" w:customStyle="1" w:styleId="ListNote">
    <w:name w:val="List Note"/>
    <w:basedOn w:val="List"/>
    <w:rsid w:val="007A0B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B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B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BAE"/>
    <w:rPr>
      <w:rFonts w:ascii="Courier New" w:hAnsi="Courier New"/>
    </w:rPr>
  </w:style>
  <w:style w:type="paragraph" w:customStyle="1" w:styleId="NoteBullet">
    <w:name w:val="Note Bullet"/>
    <w:basedOn w:val="Note"/>
    <w:rsid w:val="007A0B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B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B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B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B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0B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B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BAE"/>
    <w:rPr>
      <w:b/>
      <w:smallCaps/>
    </w:rPr>
  </w:style>
  <w:style w:type="paragraph" w:customStyle="1" w:styleId="TableListNumber">
    <w:name w:val="Table List Number"/>
    <w:basedOn w:val="ListNumber"/>
    <w:rsid w:val="007A0B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B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BAE"/>
    <w:pPr>
      <w:numPr>
        <w:numId w:val="8"/>
      </w:numPr>
    </w:pPr>
  </w:style>
  <w:style w:type="paragraph" w:customStyle="1" w:styleId="ListAlpha2">
    <w:name w:val="List Alpha 2"/>
    <w:basedOn w:val="List2"/>
    <w:rsid w:val="007A0BAE"/>
    <w:pPr>
      <w:numPr>
        <w:numId w:val="7"/>
      </w:numPr>
    </w:pPr>
  </w:style>
  <w:style w:type="paragraph" w:styleId="List2">
    <w:name w:val="List 2"/>
    <w:basedOn w:val="BodyText"/>
    <w:rsid w:val="007A0B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B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B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B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B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B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0BAE"/>
    <w:pPr>
      <w:numPr>
        <w:numId w:val="3"/>
      </w:numPr>
    </w:pPr>
  </w:style>
  <w:style w:type="paragraph" w:styleId="ListContinue2">
    <w:name w:val="List Continue 2"/>
    <w:basedOn w:val="List2"/>
    <w:rsid w:val="007A0BAE"/>
    <w:pPr>
      <w:ind w:firstLine="0"/>
    </w:pPr>
  </w:style>
  <w:style w:type="paragraph" w:styleId="ListContinue3">
    <w:name w:val="List Continue 3"/>
    <w:basedOn w:val="List3"/>
    <w:rsid w:val="007A0BAE"/>
    <w:pPr>
      <w:ind w:left="1021" w:firstLine="0"/>
    </w:pPr>
  </w:style>
  <w:style w:type="paragraph" w:styleId="ListContinue4">
    <w:name w:val="List Continue 4"/>
    <w:basedOn w:val="List4"/>
    <w:rsid w:val="007A0BAE"/>
    <w:pPr>
      <w:ind w:firstLine="0"/>
    </w:pPr>
  </w:style>
  <w:style w:type="paragraph" w:styleId="ListContinue5">
    <w:name w:val="List Continue 5"/>
    <w:basedOn w:val="List5"/>
    <w:rsid w:val="007A0BAE"/>
    <w:pPr>
      <w:ind w:firstLine="0"/>
    </w:pPr>
  </w:style>
  <w:style w:type="paragraph" w:styleId="ListNumber3">
    <w:name w:val="List Number 3"/>
    <w:basedOn w:val="List3"/>
    <w:rsid w:val="007A0BAE"/>
    <w:pPr>
      <w:numPr>
        <w:numId w:val="4"/>
      </w:numPr>
    </w:pPr>
  </w:style>
  <w:style w:type="paragraph" w:styleId="ListNumber4">
    <w:name w:val="List Number 4"/>
    <w:basedOn w:val="List4"/>
    <w:rsid w:val="007A0BAE"/>
    <w:pPr>
      <w:numPr>
        <w:numId w:val="5"/>
      </w:numPr>
    </w:pPr>
  </w:style>
  <w:style w:type="paragraph" w:styleId="ListNumber5">
    <w:name w:val="List Number 5"/>
    <w:basedOn w:val="List5"/>
    <w:rsid w:val="007A0BAE"/>
    <w:pPr>
      <w:numPr>
        <w:numId w:val="6"/>
      </w:numPr>
    </w:pPr>
  </w:style>
  <w:style w:type="paragraph" w:styleId="BlockText">
    <w:name w:val="Block Text"/>
    <w:basedOn w:val="Normal"/>
    <w:rsid w:val="007A0B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B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BAE"/>
    <w:rPr>
      <w:sz w:val="16"/>
      <w:vertAlign w:val="superscript"/>
    </w:rPr>
  </w:style>
  <w:style w:type="character" w:customStyle="1" w:styleId="Symbols">
    <w:name w:val="Symbols"/>
    <w:basedOn w:val="DefaultParagraphFont"/>
    <w:rsid w:val="007A0BAE"/>
    <w:rPr>
      <w:rFonts w:ascii="Symbol" w:hAnsi="Symbol"/>
    </w:rPr>
  </w:style>
  <w:style w:type="character" w:customStyle="1" w:styleId="MenuOptions">
    <w:name w:val="Menu Options"/>
    <w:basedOn w:val="DefaultParagraphFont"/>
    <w:rsid w:val="007A0B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BAE"/>
    <w:rPr>
      <w:b/>
    </w:rPr>
  </w:style>
  <w:style w:type="character" w:customStyle="1" w:styleId="Underlined">
    <w:name w:val="Underlined"/>
    <w:basedOn w:val="DefaultParagraphFont"/>
    <w:rsid w:val="007A0BAE"/>
    <w:rPr>
      <w:u w:val="single"/>
    </w:rPr>
  </w:style>
  <w:style w:type="paragraph" w:customStyle="1" w:styleId="TableBodyTextRight">
    <w:name w:val="Table Body Text Right"/>
    <w:basedOn w:val="TableBodyText"/>
    <w:rsid w:val="007A0B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BAE"/>
    <w:rPr>
      <w:sz w:val="18"/>
    </w:rPr>
  </w:style>
  <w:style w:type="paragraph" w:customStyle="1" w:styleId="BodySmallRight">
    <w:name w:val="Body Small Right"/>
    <w:basedOn w:val="BodyTextRight"/>
    <w:rsid w:val="007A0BAE"/>
    <w:rPr>
      <w:sz w:val="18"/>
      <w:szCs w:val="18"/>
    </w:rPr>
  </w:style>
  <w:style w:type="paragraph" w:customStyle="1" w:styleId="MarginEdition">
    <w:name w:val="Margin Edition"/>
    <w:basedOn w:val="MarginNote"/>
    <w:rsid w:val="007A0B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BAE"/>
    <w:rPr>
      <w:sz w:val="2"/>
      <w:szCs w:val="2"/>
    </w:rPr>
  </w:style>
  <w:style w:type="character" w:customStyle="1" w:styleId="Small">
    <w:name w:val="Small"/>
    <w:basedOn w:val="DefaultParagraphFont"/>
    <w:rsid w:val="007A0BAE"/>
    <w:rPr>
      <w:sz w:val="16"/>
    </w:rPr>
  </w:style>
  <w:style w:type="paragraph" w:customStyle="1" w:styleId="WideTable">
    <w:name w:val="Wide Table"/>
    <w:basedOn w:val="Normal"/>
    <w:rsid w:val="007A0B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BAE"/>
  </w:style>
  <w:style w:type="paragraph" w:styleId="Quote">
    <w:name w:val="Quote"/>
    <w:basedOn w:val="Heading1"/>
    <w:link w:val="QuoteChar"/>
    <w:qFormat/>
    <w:rsid w:val="007A0B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B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BAE"/>
    <w:pPr>
      <w:pageBreakBefore/>
    </w:pPr>
  </w:style>
  <w:style w:type="paragraph" w:customStyle="1" w:styleId="Border">
    <w:name w:val="Border"/>
    <w:basedOn w:val="Normal"/>
    <w:qFormat/>
    <w:rsid w:val="007A0B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B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B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B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B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B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B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B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B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BAE"/>
    <w:rPr>
      <w:u w:val="single"/>
    </w:rPr>
  </w:style>
  <w:style w:type="character" w:customStyle="1" w:styleId="BoldandItalics">
    <w:name w:val="Bold and Italics"/>
    <w:qFormat/>
    <w:rsid w:val="007A0BAE"/>
    <w:rPr>
      <w:b/>
      <w:i/>
      <w:u w:val="none"/>
    </w:rPr>
  </w:style>
  <w:style w:type="paragraph" w:styleId="BalloonText">
    <w:name w:val="Balloon Text"/>
    <w:basedOn w:val="Normal"/>
    <w:link w:val="BalloonTextChar"/>
    <w:rsid w:val="007A0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B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B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B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B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B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BAE"/>
    <w:pPr>
      <w:spacing w:before="0" w:after="0"/>
    </w:pPr>
  </w:style>
  <w:style w:type="paragraph" w:customStyle="1" w:styleId="BodyTextBold">
    <w:name w:val="Body Text Bold"/>
    <w:basedOn w:val="BodyText"/>
    <w:qFormat/>
    <w:rsid w:val="007A0BAE"/>
    <w:rPr>
      <w:b/>
    </w:rPr>
  </w:style>
  <w:style w:type="character" w:styleId="Hyperlink">
    <w:name w:val="Hyperlink"/>
    <w:basedOn w:val="DefaultParagraphFont"/>
    <w:uiPriority w:val="99"/>
    <w:unhideWhenUsed/>
    <w:rsid w:val="00CE5A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4191</Characters>
  <Application>Microsoft Office Word</Application>
  <DocSecurity>0</DocSecurity>
  <Lines>139</Lines>
  <Paragraphs>91</Paragraphs>
  <ScaleCrop>false</ScaleCrop>
  <Company>Author-it Software Corporation Ltd.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MEM05085 Select welding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2023-02-03T06:46:00Z</dcterms:created>
  <dcterms:modified xsi:type="dcterms:W3CDTF">2023-02-03T06:46:00Z</dcterms:modified>
</cp:coreProperties>
</file>