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F35" w:rsidP="008A6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MEM05075 Perform advanced welding using oxy acetylene welding process</w:t>
      </w:r>
      <w:r>
        <w:fldChar w:fldCharType="end"/>
      </w:r>
    </w:p>
    <w:p w:rsidR="008A6F35" w:rsidP="008A6F35">
      <w:pPr>
        <w:pStyle w:val="Version"/>
        <w:sectPr w:rsidSect="00DA3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00E" w:rsidP="00DA300E">
      <w:pPr>
        <w:pStyle w:val="SuperHeading"/>
      </w:pPr>
      <w:r w:rsidRPr="00DA300E">
        <w:t>Assessment Requirements for MEM05075 Perform advanced welding using oxy acetylene welding process</w:t>
      </w:r>
    </w:p>
    <w:p w:rsidR="00000000" w:rsidRPr="00DA300E" w:rsidP="00DA300E">
      <w:pPr>
        <w:pStyle w:val="Heading1"/>
      </w:pPr>
      <w:bookmarkStart w:id="1" w:name="O_1270609"/>
      <w:bookmarkEnd w:id="1"/>
      <w:r w:rsidRPr="00DA300E">
        <w:t>Modification History</w:t>
      </w:r>
    </w:p>
    <w:p w:rsidR="008A6F35" w:rsidP="008A6F35">
      <w:pPr>
        <w:pStyle w:val="BodyText"/>
      </w:pPr>
      <w:r w:rsidRPr="00DA300E">
        <w:t>Release 1. Unit code ch</w:t>
      </w:r>
      <w:r w:rsidRPr="00DA300E">
        <w:t>anged. Changes to prerequisites, performance evidence and knowledge evidence. Supersedes and is not equivalent to MEM05022 Perform advanced welding using oxy acetylene welding process.</w:t>
      </w:r>
    </w:p>
    <w:p w:rsidR="00000000" w:rsidRPr="00DA300E" w:rsidP="00DA300E">
      <w:pPr>
        <w:pStyle w:val="Heading1"/>
      </w:pPr>
      <w:bookmarkStart w:id="2" w:name="O_1270610"/>
      <w:bookmarkEnd w:id="2"/>
      <w:r w:rsidRPr="00DA300E">
        <w:t>Performance Evidence</w:t>
      </w:r>
    </w:p>
    <w:p w:rsidR="00000000" w:rsidRPr="00DA300E" w:rsidP="008A6F35">
      <w:pPr>
        <w:pStyle w:val="BodyText"/>
      </w:pPr>
      <w:r w:rsidRPr="00DA300E">
        <w:t>Evidence required to demonstra</w:t>
      </w:r>
      <w:r w:rsidRPr="00DA300E">
        <w:t>te competence in this unit must be relevant to and satisfy the requirements of the elements and performance criteria and include the ability to:</w:t>
      </w:r>
    </w:p>
    <w:p w:rsidR="00000000" w:rsidRPr="00DA300E" w:rsidP="00DA300E">
      <w:pPr>
        <w:pStyle w:val="ListBullet"/>
      </w:pPr>
      <w:r w:rsidRPr="00DA300E">
        <w:t xml:space="preserve">follow work instructions, standard operating procedures (SOPs) and safe work practices </w:t>
      </w:r>
    </w:p>
    <w:p w:rsidR="00000000" w:rsidRPr="00DA300E" w:rsidP="00DA300E">
      <w:pPr>
        <w:pStyle w:val="ListBullet"/>
      </w:pPr>
      <w:r w:rsidRPr="00DA300E">
        <w:t>identify and interpret</w:t>
      </w:r>
      <w:r w:rsidRPr="00DA300E">
        <w:t xml:space="preserve"> specifications from drawings, sketches and verbal or written job instructions for performing advanced welding using oxy acetylene welding process on at least two occasions</w:t>
      </w:r>
    </w:p>
    <w:p w:rsidR="00000000" w:rsidRPr="00DA300E" w:rsidP="00DA300E">
      <w:pPr>
        <w:pStyle w:val="ListBullet"/>
      </w:pPr>
      <w:r w:rsidRPr="00DA300E">
        <w:t xml:space="preserve">select appropriate weld and joint preparation methods </w:t>
      </w:r>
    </w:p>
    <w:p w:rsidR="00000000" w:rsidRPr="00DA300E" w:rsidP="00DA300E">
      <w:pPr>
        <w:pStyle w:val="ListBullet"/>
      </w:pPr>
      <w:r w:rsidRPr="00DA300E">
        <w:t xml:space="preserve">clean and prepare materials </w:t>
      </w:r>
      <w:r w:rsidRPr="00DA300E">
        <w:t xml:space="preserve">for welding </w:t>
      </w:r>
    </w:p>
    <w:p w:rsidR="00000000" w:rsidRPr="00DA300E" w:rsidP="00DA300E">
      <w:pPr>
        <w:pStyle w:val="ListBullet"/>
      </w:pPr>
      <w:r w:rsidRPr="00DA300E">
        <w:t xml:space="preserve">weld materials in all positions, including fillet and butt in the horizontal, vertical and overhead positions to the specified standard or equivalent on at least two occasions </w:t>
      </w:r>
    </w:p>
    <w:p w:rsidR="00000000" w:rsidRPr="00DA300E" w:rsidP="00DA300E">
      <w:pPr>
        <w:pStyle w:val="ListBullet"/>
      </w:pPr>
      <w:r w:rsidRPr="00DA300E">
        <w:t>apply distortion prevention techniques</w:t>
      </w:r>
    </w:p>
    <w:p w:rsidR="00000000" w:rsidRPr="00DA300E" w:rsidP="00DA300E">
      <w:pPr>
        <w:pStyle w:val="ListBullet"/>
      </w:pPr>
      <w:r w:rsidRPr="00DA300E">
        <w:t>rectify identified cracks o</w:t>
      </w:r>
      <w:r w:rsidRPr="00DA300E">
        <w:t>r defects.</w:t>
      </w:r>
    </w:p>
    <w:p w:rsidR="008A6F35" w:rsidP="008A6F35">
      <w:pPr>
        <w:pStyle w:val="BodyText"/>
      </w:pPr>
      <w:r w:rsidRPr="00DA300E">
        <w:t>Note: Where a volume and/or frequency is not specified, demonstration must be provided at least once.</w:t>
      </w:r>
    </w:p>
    <w:p w:rsidR="00000000" w:rsidRPr="00DA300E" w:rsidP="00DA300E">
      <w:pPr>
        <w:pStyle w:val="Heading1"/>
      </w:pPr>
      <w:bookmarkStart w:id="3" w:name="O_1270611"/>
      <w:bookmarkEnd w:id="3"/>
      <w:r w:rsidRPr="00DA300E">
        <w:t>Knowledge Evidence</w:t>
      </w:r>
    </w:p>
    <w:p w:rsidR="00000000" w:rsidRPr="00DA300E" w:rsidP="008A6F35">
      <w:pPr>
        <w:pStyle w:val="BodyText"/>
      </w:pPr>
      <w:r w:rsidRPr="00DA300E">
        <w:t>Evidence required to demonstrate the required knowledge for this unit must be relevant to and satisfy th</w:t>
      </w:r>
      <w:r w:rsidRPr="00DA300E">
        <w:t>e requirements of the elements and performance criteria and include knowledge of:</w:t>
      </w:r>
    </w:p>
    <w:p w:rsidR="00000000" w:rsidRPr="00DA300E" w:rsidP="00DA300E">
      <w:pPr>
        <w:pStyle w:val="ListBullet"/>
      </w:pPr>
      <w:r w:rsidRPr="00DA300E">
        <w:t>safe welding practices and procedures and use of personal protective equipment (PPE)</w:t>
      </w:r>
    </w:p>
    <w:p w:rsidR="00000000" w:rsidRPr="00DA300E" w:rsidP="00DA300E">
      <w:pPr>
        <w:pStyle w:val="ListBullet"/>
      </w:pPr>
      <w:r w:rsidRPr="00DA300E">
        <w:t xml:space="preserve">purpose of pre-welding and/or post-welding heating and the methods of application </w:t>
      </w:r>
    </w:p>
    <w:p w:rsidR="00000000" w:rsidRPr="00DA300E" w:rsidP="00DA300E">
      <w:pPr>
        <w:pStyle w:val="ListBullet"/>
      </w:pPr>
      <w:r w:rsidRPr="00DA300E">
        <w:t>instr</w:t>
      </w:r>
      <w:r w:rsidRPr="00DA300E">
        <w:t>uctions, symbols, specifications, including bead size, bead placement, reinforcement and weld procedure sheet</w:t>
      </w:r>
    </w:p>
    <w:p w:rsidR="00000000" w:rsidRPr="00DA300E" w:rsidP="00DA300E">
      <w:pPr>
        <w:pStyle w:val="ListBullet"/>
      </w:pPr>
      <w:r w:rsidRPr="00DA300E">
        <w:t>weld specifications and requirements</w:t>
      </w:r>
    </w:p>
    <w:p w:rsidR="00000000" w:rsidRPr="00DA300E" w:rsidP="00DA300E">
      <w:pPr>
        <w:pStyle w:val="ListBullet"/>
      </w:pPr>
      <w:r w:rsidRPr="00DA300E">
        <w:t xml:space="preserve">causes of weld cracks or defects and methods of rectification  </w:t>
      </w:r>
    </w:p>
    <w:p w:rsidR="00000000" w:rsidRPr="00DA300E" w:rsidP="00DA300E">
      <w:pPr>
        <w:pStyle w:val="ListBullet"/>
      </w:pPr>
      <w:r w:rsidRPr="00DA300E">
        <w:t>propertie</w:t>
      </w:r>
      <w:r w:rsidRPr="00DA300E">
        <w:t xml:space="preserve">s and characteristics of materials and consumables used in oxy acetylene welding </w:t>
      </w:r>
    </w:p>
    <w:p w:rsidR="00000000" w:rsidRPr="00DA300E" w:rsidP="00DA300E">
      <w:pPr>
        <w:pStyle w:val="ListBullet"/>
      </w:pPr>
      <w:r w:rsidRPr="00DA300E">
        <w:t>fuel gas properties and applications</w:t>
      </w:r>
    </w:p>
    <w:p w:rsidR="00000000" w:rsidRPr="00DA300E" w:rsidP="00DA300E">
      <w:pPr>
        <w:pStyle w:val="ListBullet"/>
      </w:pPr>
      <w:r w:rsidRPr="00DA300E">
        <w:t>weld specifications and requirements</w:t>
      </w:r>
    </w:p>
    <w:p w:rsidR="008A6F35" w:rsidP="00DA300E">
      <w:pPr>
        <w:pStyle w:val="ListBullet"/>
      </w:pPr>
      <w:r w:rsidRPr="00DA300E">
        <w:t>different welder identification systems, including numbering, bar coding, paint coding and letter st</w:t>
      </w:r>
      <w:r w:rsidRPr="00DA300E">
        <w:t>amps.</w:t>
      </w:r>
    </w:p>
    <w:p w:rsidR="008A6F35" w:rsidP="00DA300E">
      <w:pPr>
        <w:pStyle w:val="ListBullet"/>
      </w:pPr>
    </w:p>
    <w:p w:rsidR="00000000" w:rsidRPr="00DA300E" w:rsidP="00DA300E">
      <w:pPr>
        <w:pStyle w:val="Heading1"/>
      </w:pPr>
      <w:bookmarkStart w:id="4" w:name="O_1270612"/>
      <w:bookmarkEnd w:id="4"/>
      <w:r w:rsidRPr="00DA300E">
        <w:t>Assessment Conditions</w:t>
      </w:r>
    </w:p>
    <w:p w:rsidR="00000000" w:rsidRPr="00DA300E" w:rsidP="008A6F35">
      <w:pPr>
        <w:pStyle w:val="BodyText"/>
      </w:pPr>
      <w:r w:rsidRPr="00DA300E">
        <w:t>Assessors must:</w:t>
      </w:r>
    </w:p>
    <w:p w:rsidR="00000000" w:rsidRPr="00DA300E" w:rsidP="00DA300E">
      <w:pPr>
        <w:pStyle w:val="ListBullet"/>
      </w:pPr>
      <w:r w:rsidRPr="00DA300E">
        <w:t>have vocational competency in performing advanced welding using oxy acetylene welding process at least to the level being assessed with relevant industry knowledge and experience</w:t>
      </w:r>
    </w:p>
    <w:p w:rsidR="00000000" w:rsidRPr="00DA300E" w:rsidP="00DA300E">
      <w:pPr>
        <w:pStyle w:val="ListBullet2"/>
      </w:pPr>
      <w:r w:rsidRPr="00DA300E">
        <w:t>satisfy the</w:t>
      </w:r>
      <w:r w:rsidRPr="00DA300E">
        <w:t xml:space="preserve"> assessor requirements in the </w:t>
      </w:r>
      <w:r w:rsidRPr="00DA300E">
        <w:rPr>
          <w:rStyle w:val="Emphasis"/>
        </w:rPr>
        <w:t xml:space="preserve">Standards for Registered Training Organisations 2015 </w:t>
      </w:r>
      <w:r w:rsidRPr="00DA300E">
        <w:t>or its replacement</w:t>
      </w:r>
      <w:r w:rsidRPr="00DA300E">
        <w:rPr>
          <w:rStyle w:val="Emphasis"/>
        </w:rPr>
        <w:t xml:space="preserve"> </w:t>
      </w:r>
      <w:r w:rsidRPr="00DA300E">
        <w:t xml:space="preserve">and comply with the </w:t>
      </w:r>
      <w:r w:rsidRPr="00DA300E">
        <w:rPr>
          <w:rStyle w:val="Emphasis"/>
        </w:rPr>
        <w:t xml:space="preserve">National Vocational Education and Training Regulator Act 2011, </w:t>
      </w:r>
      <w:r w:rsidRPr="00DA300E">
        <w:t>its replacement</w:t>
      </w:r>
      <w:r w:rsidRPr="00DA300E">
        <w:rPr>
          <w:rStyle w:val="Emphasis"/>
        </w:rPr>
        <w:t xml:space="preserve"> </w:t>
      </w:r>
      <w:r w:rsidRPr="00DA300E">
        <w:t xml:space="preserve">or equivalent legislation covering VET regulation in a </w:t>
      </w:r>
      <w:r w:rsidRPr="00DA300E">
        <w:t>non-referring state/territory as the case requires.</w:t>
      </w:r>
    </w:p>
    <w:p w:rsidR="00000000" w:rsidRPr="00DA300E" w:rsidP="00DA300E">
      <w:pPr>
        <w:pStyle w:val="ListBullet2"/>
      </w:pPr>
      <w:r w:rsidRPr="00DA300E">
        <w:t>Assessment must occur in a functioning workplace. Where assessment in the workplace would be unsafe, impractical or threatens the environment, assessment must occur in a sufficiently rigorous simulated en</w:t>
      </w:r>
      <w:r w:rsidRPr="00DA300E">
        <w:t>vironment that reflects the circumstances that would be experienced in a functioning workplace. Assessment must cover all aspects of workplace performance, including task skills, task management skills, contingency management skills and job role environmen</w:t>
      </w:r>
      <w:r w:rsidRPr="00DA300E">
        <w:t xml:space="preserve">t skills </w:t>
      </w:r>
    </w:p>
    <w:p w:rsidR="00000000" w:rsidRPr="00DA300E" w:rsidP="00DA300E">
      <w:pPr>
        <w:pStyle w:val="ListBullet"/>
      </w:pPr>
      <w:r w:rsidRPr="00DA300E">
        <w:t>Knowledge assessment may be either verbal or written but must adequately reflect the knowledge requirements of the unit in a functioning workplace.</w:t>
      </w:r>
    </w:p>
    <w:p w:rsidR="00000000" w:rsidRPr="00DA300E" w:rsidP="00DA300E">
      <w:pPr>
        <w:pStyle w:val="ListBullet"/>
      </w:pPr>
      <w:r w:rsidRPr="00DA300E">
        <w:t>Conditions for assessme</w:t>
      </w:r>
      <w:r w:rsidRPr="00DA300E">
        <w:t>nt must include access to all tools, equipment, materials and documentation required, including relevant workplace procedures, product and manufacturing specifications.</w:t>
      </w:r>
    </w:p>
    <w:p w:rsidR="008A6F35" w:rsidP="00DA300E">
      <w:pPr>
        <w:pStyle w:val="ListBullet"/>
      </w:pPr>
      <w:r w:rsidRPr="00DA300E">
        <w:t>Assessment processes and techniques must be appropriate to the language, literacy and n</w:t>
      </w:r>
      <w:r w:rsidRPr="00DA300E">
        <w:t>umeracy requirements of the work being performed and the needs of the candidate.</w:t>
      </w:r>
    </w:p>
    <w:p w:rsidR="008A6F35" w:rsidP="00DA300E">
      <w:pPr>
        <w:pStyle w:val="ListBullet"/>
      </w:pPr>
    </w:p>
    <w:p w:rsidR="00000000" w:rsidRPr="00DA300E" w:rsidP="00DA300E">
      <w:pPr>
        <w:pStyle w:val="Heading1"/>
      </w:pPr>
      <w:bookmarkStart w:id="5" w:name="O_1270615"/>
      <w:bookmarkEnd w:id="5"/>
      <w:r w:rsidRPr="00DA300E">
        <w:t>Links</w:t>
      </w:r>
    </w:p>
    <w:p w:rsidR="00000000" w:rsidRPr="00DA300E" w:rsidP="008A6F35">
      <w:pPr>
        <w:pStyle w:val="BodyText"/>
      </w:pPr>
      <w:r w:rsidRPr="00DA30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2D6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A300E" w:rsidP="00DA300E"/>
    <w:sectPr w:rsidSect="00DA30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0E" w:rsidRPr="008A6F35" w:rsidP="008A6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35" w:rsidP="00DA3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F35" w:rsidP="00DA3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6F35" w:rsidP="00DA3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00E" w:rsidRPr="008A6F35" w:rsidP="008A6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35" w:rsidRPr="002D2AF8" w:rsidP="00DA3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MEM05075 Perform advanced welding using oxy acetylene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A6F35" w:rsidP="00DA3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A40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1C1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FC35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00E"/>
  </w:style>
  <w:style w:type="character" w:customStyle="1" w:styleId="Heading1Char">
    <w:name w:val="Heading 1 Char"/>
    <w:basedOn w:val="DefaultParagraphFont"/>
    <w:link w:val="Heading1"/>
    <w:rsid w:val="00DA3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0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0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30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300E"/>
    <w:rPr>
      <w:i/>
    </w:rPr>
  </w:style>
  <w:style w:type="paragraph" w:customStyle="1" w:styleId="SuperHeading">
    <w:name w:val="SuperHeading"/>
    <w:basedOn w:val="Normal"/>
    <w:rsid w:val="00DA3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0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300E"/>
    <w:rPr>
      <w:b/>
      <w:spacing w:val="0"/>
    </w:rPr>
  </w:style>
  <w:style w:type="paragraph" w:customStyle="1" w:styleId="SuperTitle">
    <w:name w:val="SuperTitle"/>
    <w:basedOn w:val="Title"/>
    <w:rsid w:val="00DA3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0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3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00E"/>
  </w:style>
  <w:style w:type="paragraph" w:styleId="TableofFigures">
    <w:name w:val="table of figures"/>
    <w:basedOn w:val="Normal"/>
    <w:next w:val="Normal"/>
    <w:semiHidden/>
    <w:rsid w:val="00DA3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0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00E"/>
    <w:rPr>
      <w:rFonts w:ascii="Wingdings" w:hAnsi="Wingdings"/>
    </w:rPr>
  </w:style>
  <w:style w:type="paragraph" w:customStyle="1" w:styleId="TableHeading">
    <w:name w:val="Table Heading"/>
    <w:basedOn w:val="HeadingBase"/>
    <w:rsid w:val="00DA3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00E"/>
    <w:rPr>
      <w:color w:val="0033CC"/>
      <w:u w:val="none"/>
    </w:rPr>
  </w:style>
  <w:style w:type="paragraph" w:customStyle="1" w:styleId="BodyTextRight">
    <w:name w:val="Body Text Right"/>
    <w:basedOn w:val="BodyText"/>
    <w:rsid w:val="00DA3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0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00E"/>
    <w:rPr>
      <w:sz w:val="32"/>
    </w:rPr>
  </w:style>
  <w:style w:type="paragraph" w:customStyle="1" w:styleId="HeadingProcedure">
    <w:name w:val="Heading Procedure"/>
    <w:basedOn w:val="HeadingBase"/>
    <w:next w:val="Normal"/>
    <w:rsid w:val="00DA3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00E"/>
    <w:pPr>
      <w:spacing w:before="60" w:after="60"/>
    </w:pPr>
  </w:style>
  <w:style w:type="paragraph" w:styleId="ListContinue">
    <w:name w:val="List Continue"/>
    <w:basedOn w:val="List"/>
    <w:rsid w:val="00DA300E"/>
    <w:pPr>
      <w:ind w:firstLine="0"/>
    </w:pPr>
  </w:style>
  <w:style w:type="paragraph" w:customStyle="1" w:styleId="ListNote">
    <w:name w:val="List Note"/>
    <w:basedOn w:val="List"/>
    <w:rsid w:val="00DA3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00E"/>
    <w:rPr>
      <w:rFonts w:ascii="Courier New" w:hAnsi="Courier New"/>
    </w:rPr>
  </w:style>
  <w:style w:type="paragraph" w:customStyle="1" w:styleId="NoteBullet">
    <w:name w:val="Note Bullet"/>
    <w:basedOn w:val="Note"/>
    <w:rsid w:val="00DA3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0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00E"/>
    <w:rPr>
      <w:b/>
      <w:smallCaps/>
    </w:rPr>
  </w:style>
  <w:style w:type="paragraph" w:customStyle="1" w:styleId="TableListNumber">
    <w:name w:val="Table List Number"/>
    <w:basedOn w:val="ListNumber"/>
    <w:rsid w:val="00DA3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00E"/>
    <w:pPr>
      <w:numPr>
        <w:numId w:val="9"/>
      </w:numPr>
    </w:pPr>
  </w:style>
  <w:style w:type="paragraph" w:customStyle="1" w:styleId="ListAlpha2">
    <w:name w:val="List Alpha 2"/>
    <w:basedOn w:val="List2"/>
    <w:rsid w:val="00DA300E"/>
    <w:pPr>
      <w:numPr>
        <w:numId w:val="8"/>
      </w:numPr>
    </w:pPr>
  </w:style>
  <w:style w:type="paragraph" w:styleId="List2">
    <w:name w:val="List 2"/>
    <w:basedOn w:val="BodyText"/>
    <w:rsid w:val="00DA3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0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0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00E"/>
    <w:pPr>
      <w:numPr>
        <w:numId w:val="4"/>
      </w:numPr>
    </w:pPr>
  </w:style>
  <w:style w:type="paragraph" w:styleId="ListContinue2">
    <w:name w:val="List Continue 2"/>
    <w:basedOn w:val="List2"/>
    <w:rsid w:val="00DA300E"/>
    <w:pPr>
      <w:ind w:firstLine="0"/>
    </w:pPr>
  </w:style>
  <w:style w:type="paragraph" w:styleId="ListContinue3">
    <w:name w:val="List Continue 3"/>
    <w:basedOn w:val="List3"/>
    <w:rsid w:val="00DA300E"/>
    <w:pPr>
      <w:ind w:left="1021" w:firstLine="0"/>
    </w:pPr>
  </w:style>
  <w:style w:type="paragraph" w:styleId="ListContinue4">
    <w:name w:val="List Continue 4"/>
    <w:basedOn w:val="List4"/>
    <w:rsid w:val="00DA300E"/>
    <w:pPr>
      <w:ind w:firstLine="0"/>
    </w:pPr>
  </w:style>
  <w:style w:type="paragraph" w:styleId="ListContinue5">
    <w:name w:val="List Continue 5"/>
    <w:basedOn w:val="List5"/>
    <w:rsid w:val="00DA300E"/>
    <w:pPr>
      <w:ind w:firstLine="0"/>
    </w:pPr>
  </w:style>
  <w:style w:type="paragraph" w:styleId="ListNumber3">
    <w:name w:val="List Number 3"/>
    <w:basedOn w:val="List3"/>
    <w:rsid w:val="00DA300E"/>
    <w:pPr>
      <w:numPr>
        <w:numId w:val="5"/>
      </w:numPr>
    </w:pPr>
  </w:style>
  <w:style w:type="paragraph" w:styleId="ListNumber4">
    <w:name w:val="List Number 4"/>
    <w:basedOn w:val="List4"/>
    <w:rsid w:val="00DA300E"/>
    <w:pPr>
      <w:numPr>
        <w:numId w:val="6"/>
      </w:numPr>
    </w:pPr>
  </w:style>
  <w:style w:type="paragraph" w:styleId="ListNumber5">
    <w:name w:val="List Number 5"/>
    <w:basedOn w:val="List5"/>
    <w:rsid w:val="00DA300E"/>
    <w:pPr>
      <w:numPr>
        <w:numId w:val="7"/>
      </w:numPr>
    </w:pPr>
  </w:style>
  <w:style w:type="paragraph" w:styleId="BlockText">
    <w:name w:val="Block Text"/>
    <w:basedOn w:val="Normal"/>
    <w:rsid w:val="00DA3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00E"/>
    <w:rPr>
      <w:sz w:val="16"/>
      <w:vertAlign w:val="superscript"/>
    </w:rPr>
  </w:style>
  <w:style w:type="character" w:customStyle="1" w:styleId="Symbols">
    <w:name w:val="Symbols"/>
    <w:basedOn w:val="DefaultParagraphFont"/>
    <w:rsid w:val="00DA300E"/>
    <w:rPr>
      <w:rFonts w:ascii="Symbol" w:hAnsi="Symbol"/>
    </w:rPr>
  </w:style>
  <w:style w:type="character" w:customStyle="1" w:styleId="MenuOptions">
    <w:name w:val="Menu Options"/>
    <w:basedOn w:val="DefaultParagraphFont"/>
    <w:rsid w:val="00DA3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00E"/>
    <w:rPr>
      <w:b/>
    </w:rPr>
  </w:style>
  <w:style w:type="character" w:customStyle="1" w:styleId="Underlined">
    <w:name w:val="Underlined"/>
    <w:basedOn w:val="DefaultParagraphFont"/>
    <w:rsid w:val="00DA300E"/>
    <w:rPr>
      <w:u w:val="single"/>
    </w:rPr>
  </w:style>
  <w:style w:type="paragraph" w:customStyle="1" w:styleId="TableBodyTextRight">
    <w:name w:val="Table Body Text Right"/>
    <w:basedOn w:val="TableBodyText"/>
    <w:rsid w:val="00DA3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00E"/>
    <w:rPr>
      <w:sz w:val="18"/>
    </w:rPr>
  </w:style>
  <w:style w:type="paragraph" w:customStyle="1" w:styleId="BodySmallRight">
    <w:name w:val="Body Small Right"/>
    <w:basedOn w:val="BodyTextRight"/>
    <w:rsid w:val="00DA300E"/>
    <w:rPr>
      <w:sz w:val="18"/>
      <w:szCs w:val="18"/>
    </w:rPr>
  </w:style>
  <w:style w:type="paragraph" w:customStyle="1" w:styleId="MarginEdition">
    <w:name w:val="Margin Edition"/>
    <w:basedOn w:val="MarginNote"/>
    <w:rsid w:val="00DA3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00E"/>
    <w:rPr>
      <w:sz w:val="2"/>
      <w:szCs w:val="2"/>
    </w:rPr>
  </w:style>
  <w:style w:type="character" w:customStyle="1" w:styleId="Small">
    <w:name w:val="Small"/>
    <w:basedOn w:val="DefaultParagraphFont"/>
    <w:rsid w:val="00DA300E"/>
    <w:rPr>
      <w:sz w:val="16"/>
    </w:rPr>
  </w:style>
  <w:style w:type="paragraph" w:customStyle="1" w:styleId="WideTable">
    <w:name w:val="Wide Table"/>
    <w:basedOn w:val="Normal"/>
    <w:rsid w:val="00DA3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00E"/>
  </w:style>
  <w:style w:type="paragraph" w:styleId="Quote">
    <w:name w:val="Quote"/>
    <w:basedOn w:val="Heading1"/>
    <w:link w:val="QuoteChar"/>
    <w:qFormat/>
    <w:rsid w:val="00DA3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00E"/>
    <w:pPr>
      <w:pageBreakBefore/>
    </w:pPr>
  </w:style>
  <w:style w:type="paragraph" w:customStyle="1" w:styleId="Border">
    <w:name w:val="Border"/>
    <w:basedOn w:val="Normal"/>
    <w:qFormat/>
    <w:rsid w:val="00DA3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00E"/>
    <w:rPr>
      <w:u w:val="single"/>
    </w:rPr>
  </w:style>
  <w:style w:type="character" w:customStyle="1" w:styleId="BoldandItalics">
    <w:name w:val="Bold and Italics"/>
    <w:qFormat/>
    <w:rsid w:val="00DA300E"/>
    <w:rPr>
      <w:b/>
      <w:i/>
      <w:u w:val="none"/>
    </w:rPr>
  </w:style>
  <w:style w:type="paragraph" w:styleId="BalloonText">
    <w:name w:val="Balloon Text"/>
    <w:basedOn w:val="Normal"/>
    <w:link w:val="BalloonTextChar"/>
    <w:rsid w:val="00DA3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00E"/>
    <w:pPr>
      <w:spacing w:before="0" w:after="0"/>
    </w:pPr>
  </w:style>
  <w:style w:type="paragraph" w:customStyle="1" w:styleId="BodyTextBold">
    <w:name w:val="Body Text Bold"/>
    <w:basedOn w:val="BodyText"/>
    <w:qFormat/>
    <w:rsid w:val="00DA300E"/>
    <w:rPr>
      <w:b/>
    </w:rPr>
  </w:style>
  <w:style w:type="character" w:styleId="Hyperlink">
    <w:name w:val="Hyperlink"/>
    <w:basedOn w:val="DefaultParagraphFont"/>
    <w:uiPriority w:val="99"/>
    <w:unhideWhenUsed/>
    <w:rsid w:val="008A6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3528</Characters>
  <Application>Microsoft Office Word</Application>
  <DocSecurity>0</DocSecurity>
  <Lines>72</Lines>
  <Paragraphs>42</Paragraphs>
  <ScaleCrop>false</ScaleCrop>
  <Company>Author-it Software Corporation Ltd.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MEM05075 Perform advanced welding using oxy acetylene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